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2C191A">
      <w:pPr>
        <w:spacing w:line="360" w:lineRule="auto"/>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附表：</w:t>
      </w:r>
    </w:p>
    <w:tbl>
      <w:tblPr>
        <w:tblStyle w:val="7"/>
        <w:tblpPr w:leftFromText="180" w:rightFromText="180" w:vertAnchor="text" w:horzAnchor="page" w:tblpXSpec="center" w:tblpY="60"/>
        <w:tblOverlap w:val="never"/>
        <w:tblW w:w="54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52"/>
        <w:gridCol w:w="2058"/>
        <w:gridCol w:w="1766"/>
        <w:gridCol w:w="705"/>
        <w:gridCol w:w="658"/>
        <w:gridCol w:w="812"/>
        <w:gridCol w:w="779"/>
        <w:gridCol w:w="1838"/>
      </w:tblGrid>
      <w:tr w14:paraId="338D3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49" w:type="pct"/>
            <w:noWrap w:val="0"/>
            <w:vAlign w:val="center"/>
          </w:tcPr>
          <w:p w14:paraId="31DCE245">
            <w:pPr>
              <w:pStyle w:val="6"/>
              <w:keepNext w:val="0"/>
              <w:keepLines w:val="0"/>
              <w:pageBreakBefore w:val="0"/>
              <w:widowControl w:val="0"/>
              <w:kinsoku/>
              <w:wordWrap/>
              <w:overflowPunct/>
              <w:topLinePunct w:val="0"/>
              <w:autoSpaceDE/>
              <w:autoSpaceDN/>
              <w:bidi w:val="0"/>
              <w:adjustRightInd/>
              <w:snapToGrid/>
              <w:spacing w:before="105" w:line="480" w:lineRule="exact"/>
              <w:ind w:left="0" w:leftChars="0" w:right="0" w:rightChars="0" w:firstLine="0" w:firstLineChars="0"/>
              <w:jc w:val="center"/>
              <w:textAlignment w:val="auto"/>
              <w:rPr>
                <w:rFonts w:hint="eastAsia" w:ascii="方正仿宋_GB2312" w:hAnsi="方正仿宋_GB2312" w:eastAsia="方正仿宋_GB2312" w:cs="方正仿宋_GB2312"/>
                <w:sz w:val="22"/>
                <w:szCs w:val="22"/>
              </w:rPr>
            </w:pPr>
            <w:r>
              <w:rPr>
                <w:rFonts w:hint="eastAsia" w:ascii="方正仿宋_GB2312" w:hAnsi="方正仿宋_GB2312" w:eastAsia="方正仿宋_GB2312" w:cs="方正仿宋_GB2312"/>
                <w:spacing w:val="6"/>
                <w:sz w:val="22"/>
                <w:szCs w:val="22"/>
              </w:rPr>
              <w:t>序号</w:t>
            </w:r>
          </w:p>
        </w:tc>
        <w:tc>
          <w:tcPr>
            <w:tcW w:w="1135" w:type="pct"/>
            <w:noWrap w:val="0"/>
            <w:vAlign w:val="center"/>
          </w:tcPr>
          <w:p w14:paraId="6B20B28A">
            <w:pPr>
              <w:pStyle w:val="6"/>
              <w:keepNext w:val="0"/>
              <w:keepLines w:val="0"/>
              <w:pageBreakBefore w:val="0"/>
              <w:widowControl w:val="0"/>
              <w:kinsoku/>
              <w:wordWrap/>
              <w:overflowPunct/>
              <w:topLinePunct w:val="0"/>
              <w:autoSpaceDE/>
              <w:autoSpaceDN/>
              <w:bidi w:val="0"/>
              <w:adjustRightInd/>
              <w:snapToGrid/>
              <w:spacing w:before="104" w:line="480" w:lineRule="exact"/>
              <w:ind w:left="0" w:leftChars="0" w:right="0" w:rightChars="0" w:firstLine="0" w:firstLineChars="0"/>
              <w:jc w:val="center"/>
              <w:textAlignment w:val="auto"/>
              <w:rPr>
                <w:rFonts w:hint="eastAsia" w:ascii="方正仿宋_GB2312" w:hAnsi="方正仿宋_GB2312" w:eastAsia="方正仿宋_GB2312" w:cs="方正仿宋_GB2312"/>
                <w:sz w:val="22"/>
                <w:szCs w:val="22"/>
              </w:rPr>
            </w:pPr>
            <w:r>
              <w:rPr>
                <w:rFonts w:hint="eastAsia" w:ascii="方正仿宋_GB2312" w:hAnsi="方正仿宋_GB2312" w:eastAsia="方正仿宋_GB2312" w:cs="方正仿宋_GB2312"/>
                <w:spacing w:val="-2"/>
                <w:sz w:val="22"/>
                <w:szCs w:val="22"/>
              </w:rPr>
              <w:t>施工内容</w:t>
            </w:r>
          </w:p>
        </w:tc>
        <w:tc>
          <w:tcPr>
            <w:tcW w:w="974" w:type="pct"/>
            <w:noWrap w:val="0"/>
            <w:vAlign w:val="center"/>
          </w:tcPr>
          <w:p w14:paraId="796A72E1">
            <w:pPr>
              <w:pStyle w:val="6"/>
              <w:keepNext w:val="0"/>
              <w:keepLines w:val="0"/>
              <w:pageBreakBefore w:val="0"/>
              <w:widowControl w:val="0"/>
              <w:kinsoku/>
              <w:wordWrap/>
              <w:overflowPunct/>
              <w:topLinePunct w:val="0"/>
              <w:autoSpaceDE/>
              <w:autoSpaceDN/>
              <w:bidi w:val="0"/>
              <w:adjustRightInd/>
              <w:snapToGrid/>
              <w:spacing w:before="104" w:line="480" w:lineRule="exact"/>
              <w:ind w:left="0" w:leftChars="0" w:right="0" w:rightChars="0" w:firstLine="0" w:firstLineChars="0"/>
              <w:jc w:val="center"/>
              <w:textAlignment w:val="auto"/>
              <w:rPr>
                <w:rFonts w:hint="eastAsia" w:ascii="方正仿宋_GB2312" w:hAnsi="方正仿宋_GB2312" w:eastAsia="方正仿宋_GB2312" w:cs="方正仿宋_GB2312"/>
                <w:spacing w:val="-3"/>
                <w:sz w:val="22"/>
                <w:szCs w:val="22"/>
                <w:lang w:val="en-US" w:eastAsia="zh-CN"/>
              </w:rPr>
            </w:pPr>
            <w:r>
              <w:rPr>
                <w:rFonts w:hint="eastAsia" w:ascii="方正仿宋_GB2312" w:hAnsi="方正仿宋_GB2312" w:eastAsia="方正仿宋_GB2312" w:cs="方正仿宋_GB2312"/>
                <w:spacing w:val="-3"/>
                <w:sz w:val="22"/>
                <w:szCs w:val="22"/>
                <w:lang w:val="en-US" w:eastAsia="zh-CN"/>
              </w:rPr>
              <w:t>规格型号</w:t>
            </w:r>
          </w:p>
        </w:tc>
        <w:tc>
          <w:tcPr>
            <w:tcW w:w="389" w:type="pct"/>
            <w:noWrap w:val="0"/>
            <w:vAlign w:val="center"/>
          </w:tcPr>
          <w:p w14:paraId="04DBA26B">
            <w:pPr>
              <w:pStyle w:val="6"/>
              <w:keepNext w:val="0"/>
              <w:keepLines w:val="0"/>
              <w:pageBreakBefore w:val="0"/>
              <w:widowControl w:val="0"/>
              <w:kinsoku/>
              <w:wordWrap/>
              <w:overflowPunct/>
              <w:topLinePunct w:val="0"/>
              <w:autoSpaceDE/>
              <w:autoSpaceDN/>
              <w:bidi w:val="0"/>
              <w:adjustRightInd/>
              <w:snapToGrid/>
              <w:spacing w:before="104" w:line="480" w:lineRule="exact"/>
              <w:ind w:left="0" w:leftChars="0" w:right="0" w:rightChars="0" w:firstLine="0" w:firstLineChars="0"/>
              <w:jc w:val="center"/>
              <w:textAlignment w:val="auto"/>
              <w:rPr>
                <w:rFonts w:hint="eastAsia" w:ascii="方正仿宋_GB2312" w:hAnsi="方正仿宋_GB2312" w:eastAsia="方正仿宋_GB2312" w:cs="方正仿宋_GB2312"/>
                <w:sz w:val="22"/>
                <w:szCs w:val="22"/>
              </w:rPr>
            </w:pPr>
            <w:r>
              <w:rPr>
                <w:rFonts w:hint="eastAsia" w:ascii="方正仿宋_GB2312" w:hAnsi="方正仿宋_GB2312" w:eastAsia="方正仿宋_GB2312" w:cs="方正仿宋_GB2312"/>
                <w:spacing w:val="-3"/>
                <w:sz w:val="22"/>
                <w:szCs w:val="22"/>
              </w:rPr>
              <w:t>工程量</w:t>
            </w:r>
          </w:p>
        </w:tc>
        <w:tc>
          <w:tcPr>
            <w:tcW w:w="363" w:type="pct"/>
            <w:noWrap w:val="0"/>
            <w:vAlign w:val="center"/>
          </w:tcPr>
          <w:p w14:paraId="7457D0F2">
            <w:pPr>
              <w:pStyle w:val="6"/>
              <w:keepNext w:val="0"/>
              <w:keepLines w:val="0"/>
              <w:pageBreakBefore w:val="0"/>
              <w:widowControl w:val="0"/>
              <w:kinsoku/>
              <w:wordWrap/>
              <w:overflowPunct/>
              <w:topLinePunct w:val="0"/>
              <w:autoSpaceDE/>
              <w:autoSpaceDN/>
              <w:bidi w:val="0"/>
              <w:adjustRightInd/>
              <w:snapToGrid/>
              <w:spacing w:before="104" w:line="480" w:lineRule="exact"/>
              <w:ind w:left="0" w:leftChars="0" w:right="0" w:rightChars="0" w:firstLine="0" w:firstLineChars="0"/>
              <w:jc w:val="center"/>
              <w:textAlignment w:val="auto"/>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pacing w:val="-3"/>
                <w:sz w:val="22"/>
                <w:szCs w:val="22"/>
              </w:rPr>
              <w:t>单位</w:t>
            </w:r>
          </w:p>
        </w:tc>
        <w:tc>
          <w:tcPr>
            <w:tcW w:w="448" w:type="pct"/>
            <w:noWrap w:val="0"/>
            <w:vAlign w:val="center"/>
          </w:tcPr>
          <w:p w14:paraId="0993D1F5">
            <w:pPr>
              <w:pStyle w:val="6"/>
              <w:keepNext w:val="0"/>
              <w:keepLines w:val="0"/>
              <w:pageBreakBefore w:val="0"/>
              <w:widowControl w:val="0"/>
              <w:kinsoku/>
              <w:wordWrap/>
              <w:overflowPunct/>
              <w:topLinePunct w:val="0"/>
              <w:autoSpaceDE/>
              <w:autoSpaceDN/>
              <w:bidi w:val="0"/>
              <w:adjustRightInd/>
              <w:snapToGrid/>
              <w:spacing w:before="102" w:line="480" w:lineRule="exact"/>
              <w:ind w:left="0" w:leftChars="0" w:right="0" w:rightChars="0" w:firstLine="0" w:firstLineChars="0"/>
              <w:jc w:val="center"/>
              <w:textAlignment w:val="auto"/>
              <w:rPr>
                <w:rFonts w:hint="eastAsia" w:ascii="方正仿宋_GB2312" w:hAnsi="方正仿宋_GB2312" w:eastAsia="方正仿宋_GB2312" w:cs="方正仿宋_GB2312"/>
                <w:sz w:val="22"/>
                <w:szCs w:val="22"/>
                <w:lang w:eastAsia="zh-CN"/>
              </w:rPr>
            </w:pPr>
            <w:r>
              <w:rPr>
                <w:rFonts w:hint="eastAsia" w:ascii="方正仿宋_GB2312" w:hAnsi="方正仿宋_GB2312" w:eastAsia="方正仿宋_GB2312" w:cs="方正仿宋_GB2312"/>
                <w:spacing w:val="-5"/>
                <w:sz w:val="22"/>
                <w:szCs w:val="22"/>
              </w:rPr>
              <w:t>单</w:t>
            </w:r>
            <w:r>
              <w:rPr>
                <w:rFonts w:hint="eastAsia" w:ascii="方正仿宋_GB2312" w:hAnsi="方正仿宋_GB2312" w:eastAsia="方正仿宋_GB2312" w:cs="方正仿宋_GB2312"/>
                <w:color w:val="403020"/>
                <w:spacing w:val="-5"/>
                <w:sz w:val="22"/>
                <w:szCs w:val="22"/>
              </w:rPr>
              <w:t>价</w:t>
            </w:r>
          </w:p>
        </w:tc>
        <w:tc>
          <w:tcPr>
            <w:tcW w:w="429" w:type="pct"/>
            <w:noWrap w:val="0"/>
            <w:vAlign w:val="center"/>
          </w:tcPr>
          <w:p w14:paraId="48AFA673">
            <w:pPr>
              <w:pStyle w:val="6"/>
              <w:keepNext w:val="0"/>
              <w:keepLines w:val="0"/>
              <w:pageBreakBefore w:val="0"/>
              <w:widowControl w:val="0"/>
              <w:kinsoku/>
              <w:wordWrap/>
              <w:overflowPunct/>
              <w:topLinePunct w:val="0"/>
              <w:autoSpaceDE/>
              <w:autoSpaceDN/>
              <w:bidi w:val="0"/>
              <w:adjustRightInd/>
              <w:snapToGrid/>
              <w:spacing w:before="102" w:line="480" w:lineRule="exact"/>
              <w:ind w:left="0" w:leftChars="0" w:right="0" w:rightChars="0" w:firstLine="0" w:firstLineChars="0"/>
              <w:jc w:val="center"/>
              <w:textAlignment w:val="auto"/>
              <w:rPr>
                <w:rFonts w:hint="eastAsia" w:ascii="方正仿宋_GB2312" w:hAnsi="方正仿宋_GB2312" w:eastAsia="方正仿宋_GB2312" w:cs="方正仿宋_GB2312"/>
                <w:sz w:val="22"/>
                <w:szCs w:val="22"/>
              </w:rPr>
            </w:pPr>
            <w:r>
              <w:rPr>
                <w:rFonts w:hint="eastAsia" w:ascii="方正仿宋_GB2312" w:hAnsi="方正仿宋_GB2312" w:eastAsia="方正仿宋_GB2312" w:cs="方正仿宋_GB2312"/>
                <w:spacing w:val="4"/>
                <w:sz w:val="22"/>
                <w:szCs w:val="22"/>
              </w:rPr>
              <w:t>总价</w:t>
            </w:r>
          </w:p>
        </w:tc>
        <w:tc>
          <w:tcPr>
            <w:tcW w:w="1009" w:type="pct"/>
            <w:noWrap w:val="0"/>
            <w:vAlign w:val="center"/>
          </w:tcPr>
          <w:p w14:paraId="193ECDE3">
            <w:pPr>
              <w:pStyle w:val="6"/>
              <w:keepNext w:val="0"/>
              <w:keepLines w:val="0"/>
              <w:pageBreakBefore w:val="0"/>
              <w:widowControl w:val="0"/>
              <w:kinsoku/>
              <w:wordWrap/>
              <w:overflowPunct/>
              <w:topLinePunct w:val="0"/>
              <w:autoSpaceDE/>
              <w:autoSpaceDN/>
              <w:bidi w:val="0"/>
              <w:adjustRightInd/>
              <w:snapToGrid/>
              <w:spacing w:before="105" w:line="480" w:lineRule="exact"/>
              <w:ind w:left="0" w:leftChars="0" w:right="0" w:rightChars="0" w:firstLine="0" w:firstLineChars="0"/>
              <w:jc w:val="center"/>
              <w:textAlignment w:val="auto"/>
              <w:rPr>
                <w:rFonts w:hint="eastAsia" w:ascii="方正仿宋_GB2312" w:hAnsi="方正仿宋_GB2312" w:eastAsia="方正仿宋_GB2312" w:cs="方正仿宋_GB2312"/>
                <w:sz w:val="22"/>
                <w:szCs w:val="22"/>
              </w:rPr>
            </w:pPr>
            <w:r>
              <w:rPr>
                <w:rFonts w:hint="eastAsia" w:ascii="方正仿宋_GB2312" w:hAnsi="方正仿宋_GB2312" w:eastAsia="方正仿宋_GB2312" w:cs="方正仿宋_GB2312"/>
                <w:spacing w:val="5"/>
                <w:sz w:val="22"/>
                <w:szCs w:val="22"/>
              </w:rPr>
              <w:t>备注</w:t>
            </w:r>
          </w:p>
        </w:tc>
      </w:tr>
      <w:tr w14:paraId="1F735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5000" w:type="pct"/>
            <w:gridSpan w:val="8"/>
            <w:noWrap w:val="0"/>
            <w:vAlign w:val="center"/>
          </w:tcPr>
          <w:p w14:paraId="2B5566C4">
            <w:pPr>
              <w:pStyle w:val="6"/>
              <w:spacing w:before="97" w:line="240" w:lineRule="auto"/>
              <w:ind w:left="0" w:leftChars="0" w:right="0" w:rightChars="0" w:firstLine="0" w:firstLineChars="0"/>
              <w:jc w:val="center"/>
              <w:rPr>
                <w:rFonts w:hint="eastAsia" w:ascii="方正仿宋_GB2312" w:hAnsi="方正仿宋_GB2312" w:eastAsia="方正仿宋_GB2312" w:cs="方正仿宋_GB2312"/>
                <w:sz w:val="22"/>
                <w:szCs w:val="22"/>
                <w:lang w:val="en-US"/>
              </w:rPr>
            </w:pPr>
            <w:r>
              <w:rPr>
                <w:rFonts w:hint="eastAsia" w:ascii="方正仿宋_GB2312" w:hAnsi="方正仿宋_GB2312" w:eastAsia="方正仿宋_GB2312" w:cs="方正仿宋_GB2312"/>
                <w:sz w:val="22"/>
                <w:szCs w:val="22"/>
                <w:lang w:val="en-US" w:eastAsia="zh-CN"/>
              </w:rPr>
              <w:t>一、3#脱硫系统</w:t>
            </w:r>
          </w:p>
        </w:tc>
      </w:tr>
      <w:tr w14:paraId="3CD28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49" w:type="pct"/>
            <w:noWrap w:val="0"/>
            <w:vAlign w:val="center"/>
          </w:tcPr>
          <w:p w14:paraId="6FE700F1">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1</w:t>
            </w:r>
          </w:p>
        </w:tc>
        <w:tc>
          <w:tcPr>
            <w:tcW w:w="1135" w:type="pct"/>
            <w:noWrap w:val="0"/>
            <w:vAlign w:val="center"/>
          </w:tcPr>
          <w:p w14:paraId="4D311AB1">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烟道本体壁板更换</w:t>
            </w:r>
          </w:p>
        </w:tc>
        <w:tc>
          <w:tcPr>
            <w:tcW w:w="974" w:type="pct"/>
            <w:noWrap w:val="0"/>
            <w:vAlign w:val="center"/>
          </w:tcPr>
          <w:p w14:paraId="4E2EB09D">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材质：2205不锈钢板厚度：8mm</w:t>
            </w:r>
          </w:p>
        </w:tc>
        <w:tc>
          <w:tcPr>
            <w:tcW w:w="389" w:type="pct"/>
            <w:noWrap w:val="0"/>
            <w:vAlign w:val="center"/>
          </w:tcPr>
          <w:p w14:paraId="3CE7AB5C">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2.2</w:t>
            </w:r>
          </w:p>
        </w:tc>
        <w:tc>
          <w:tcPr>
            <w:tcW w:w="363" w:type="pct"/>
            <w:noWrap w:val="0"/>
            <w:vAlign w:val="center"/>
          </w:tcPr>
          <w:p w14:paraId="7543654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吨</w:t>
            </w:r>
          </w:p>
        </w:tc>
        <w:tc>
          <w:tcPr>
            <w:tcW w:w="448" w:type="pct"/>
            <w:noWrap w:val="0"/>
            <w:vAlign w:val="center"/>
          </w:tcPr>
          <w:p w14:paraId="12BCE58C">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429" w:type="pct"/>
            <w:noWrap w:val="0"/>
            <w:vAlign w:val="center"/>
          </w:tcPr>
          <w:p w14:paraId="6DFC1918">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1009" w:type="pct"/>
            <w:noWrap w:val="0"/>
            <w:vAlign w:val="center"/>
          </w:tcPr>
          <w:p w14:paraId="16C39235">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default"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主材甲供</w:t>
            </w:r>
          </w:p>
        </w:tc>
      </w:tr>
      <w:tr w14:paraId="0CF8B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49" w:type="pct"/>
            <w:noWrap w:val="0"/>
            <w:vAlign w:val="center"/>
          </w:tcPr>
          <w:p w14:paraId="05048DE4">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2</w:t>
            </w:r>
          </w:p>
        </w:tc>
        <w:tc>
          <w:tcPr>
            <w:tcW w:w="1135" w:type="pct"/>
            <w:noWrap w:val="0"/>
            <w:vAlign w:val="center"/>
          </w:tcPr>
          <w:p w14:paraId="64A7DEF3">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2205事故喷淋管道保护性拆除及恢复</w:t>
            </w:r>
          </w:p>
        </w:tc>
        <w:tc>
          <w:tcPr>
            <w:tcW w:w="974" w:type="pct"/>
            <w:noWrap w:val="0"/>
            <w:vAlign w:val="center"/>
          </w:tcPr>
          <w:p w14:paraId="2118905A">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φ76×4mm</w:t>
            </w:r>
          </w:p>
        </w:tc>
        <w:tc>
          <w:tcPr>
            <w:tcW w:w="389" w:type="pct"/>
            <w:noWrap w:val="0"/>
            <w:vAlign w:val="center"/>
          </w:tcPr>
          <w:p w14:paraId="7F6FE5E3">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5</w:t>
            </w:r>
          </w:p>
        </w:tc>
        <w:tc>
          <w:tcPr>
            <w:tcW w:w="363" w:type="pct"/>
            <w:noWrap w:val="0"/>
            <w:vAlign w:val="center"/>
          </w:tcPr>
          <w:p w14:paraId="06525ACB">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m</w:t>
            </w:r>
          </w:p>
        </w:tc>
        <w:tc>
          <w:tcPr>
            <w:tcW w:w="448" w:type="pct"/>
            <w:noWrap w:val="0"/>
            <w:vAlign w:val="center"/>
          </w:tcPr>
          <w:p w14:paraId="52EDAFDC">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429" w:type="pct"/>
            <w:noWrap w:val="0"/>
            <w:vAlign w:val="center"/>
          </w:tcPr>
          <w:p w14:paraId="7C0E4A97">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1009" w:type="pct"/>
            <w:noWrap w:val="0"/>
            <w:vAlign w:val="center"/>
          </w:tcPr>
          <w:p w14:paraId="53D2168A">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主材甲供</w:t>
            </w:r>
          </w:p>
        </w:tc>
      </w:tr>
      <w:tr w14:paraId="1F164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49" w:type="pct"/>
            <w:noWrap w:val="0"/>
            <w:vAlign w:val="center"/>
          </w:tcPr>
          <w:p w14:paraId="71C1E180">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3</w:t>
            </w:r>
          </w:p>
        </w:tc>
        <w:tc>
          <w:tcPr>
            <w:tcW w:w="1135" w:type="pct"/>
            <w:noWrap w:val="0"/>
            <w:vAlign w:val="center"/>
          </w:tcPr>
          <w:p w14:paraId="51A2FDD5">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2205事故喷淋管口法兰保护性拆装</w:t>
            </w:r>
          </w:p>
        </w:tc>
        <w:tc>
          <w:tcPr>
            <w:tcW w:w="974" w:type="pct"/>
            <w:noWrap w:val="0"/>
            <w:vAlign w:val="center"/>
          </w:tcPr>
          <w:p w14:paraId="58AEA7F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DN150</w:t>
            </w:r>
          </w:p>
        </w:tc>
        <w:tc>
          <w:tcPr>
            <w:tcW w:w="389" w:type="pct"/>
            <w:noWrap w:val="0"/>
            <w:vAlign w:val="center"/>
          </w:tcPr>
          <w:p w14:paraId="66D2746B">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2</w:t>
            </w:r>
          </w:p>
        </w:tc>
        <w:tc>
          <w:tcPr>
            <w:tcW w:w="363" w:type="pct"/>
            <w:noWrap w:val="0"/>
            <w:vAlign w:val="center"/>
          </w:tcPr>
          <w:p w14:paraId="394D0DA2">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个</w:t>
            </w:r>
          </w:p>
        </w:tc>
        <w:tc>
          <w:tcPr>
            <w:tcW w:w="448" w:type="pct"/>
            <w:noWrap w:val="0"/>
            <w:vAlign w:val="center"/>
          </w:tcPr>
          <w:p w14:paraId="38E2E301">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429" w:type="pct"/>
            <w:noWrap w:val="0"/>
            <w:vAlign w:val="center"/>
          </w:tcPr>
          <w:p w14:paraId="77DA6917">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1009" w:type="pct"/>
            <w:noWrap w:val="0"/>
            <w:vAlign w:val="center"/>
          </w:tcPr>
          <w:p w14:paraId="0171E580">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利旧</w:t>
            </w:r>
          </w:p>
        </w:tc>
      </w:tr>
      <w:tr w14:paraId="545C7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49" w:type="pct"/>
            <w:noWrap w:val="0"/>
            <w:vAlign w:val="center"/>
          </w:tcPr>
          <w:p w14:paraId="4EEF75CC">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4</w:t>
            </w:r>
          </w:p>
        </w:tc>
        <w:tc>
          <w:tcPr>
            <w:tcW w:w="1135" w:type="pct"/>
            <w:noWrap w:val="0"/>
            <w:vAlign w:val="center"/>
          </w:tcPr>
          <w:p w14:paraId="35837AD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旧碳钢入口挡水板更换</w:t>
            </w:r>
          </w:p>
        </w:tc>
        <w:tc>
          <w:tcPr>
            <w:tcW w:w="974" w:type="pct"/>
            <w:noWrap w:val="0"/>
            <w:vAlign w:val="center"/>
          </w:tcPr>
          <w:p w14:paraId="4630385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材质：2205不锈钢板厚度：8mm</w:t>
            </w:r>
          </w:p>
        </w:tc>
        <w:tc>
          <w:tcPr>
            <w:tcW w:w="389" w:type="pct"/>
            <w:noWrap w:val="0"/>
            <w:vAlign w:val="center"/>
          </w:tcPr>
          <w:p w14:paraId="63673D35">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0.33</w:t>
            </w:r>
          </w:p>
        </w:tc>
        <w:tc>
          <w:tcPr>
            <w:tcW w:w="363" w:type="pct"/>
            <w:noWrap w:val="0"/>
            <w:vAlign w:val="center"/>
          </w:tcPr>
          <w:p w14:paraId="64AC8769">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吨</w:t>
            </w:r>
          </w:p>
        </w:tc>
        <w:tc>
          <w:tcPr>
            <w:tcW w:w="448" w:type="pct"/>
            <w:noWrap w:val="0"/>
            <w:vAlign w:val="center"/>
          </w:tcPr>
          <w:p w14:paraId="34EB4575">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429" w:type="pct"/>
            <w:noWrap w:val="0"/>
            <w:vAlign w:val="center"/>
          </w:tcPr>
          <w:p w14:paraId="162BD2CD">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1009" w:type="pct"/>
            <w:noWrap w:val="0"/>
            <w:vAlign w:val="center"/>
          </w:tcPr>
          <w:p w14:paraId="6CB2432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主材甲供</w:t>
            </w:r>
          </w:p>
        </w:tc>
      </w:tr>
      <w:tr w14:paraId="69DA0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49" w:type="pct"/>
            <w:noWrap w:val="0"/>
            <w:vAlign w:val="center"/>
          </w:tcPr>
          <w:p w14:paraId="56CB07B3">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5</w:t>
            </w:r>
          </w:p>
        </w:tc>
        <w:tc>
          <w:tcPr>
            <w:tcW w:w="1135" w:type="pct"/>
            <w:noWrap w:val="0"/>
            <w:vAlign w:val="center"/>
          </w:tcPr>
          <w:p w14:paraId="1D87D8ED">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烟道保温修复</w:t>
            </w:r>
          </w:p>
        </w:tc>
        <w:tc>
          <w:tcPr>
            <w:tcW w:w="974" w:type="pct"/>
            <w:noWrap w:val="0"/>
            <w:vAlign w:val="center"/>
          </w:tcPr>
          <w:p w14:paraId="6C767C5B">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岩棉</w:t>
            </w:r>
          </w:p>
        </w:tc>
        <w:tc>
          <w:tcPr>
            <w:tcW w:w="389" w:type="pct"/>
            <w:noWrap w:val="0"/>
            <w:vAlign w:val="center"/>
          </w:tcPr>
          <w:p w14:paraId="407343E3">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20</w:t>
            </w:r>
          </w:p>
        </w:tc>
        <w:tc>
          <w:tcPr>
            <w:tcW w:w="363" w:type="pct"/>
            <w:noWrap w:val="0"/>
            <w:vAlign w:val="center"/>
          </w:tcPr>
          <w:p w14:paraId="09105D94">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M²</w:t>
            </w:r>
          </w:p>
        </w:tc>
        <w:tc>
          <w:tcPr>
            <w:tcW w:w="448" w:type="pct"/>
            <w:noWrap w:val="0"/>
            <w:vAlign w:val="center"/>
          </w:tcPr>
          <w:p w14:paraId="514B826B">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429" w:type="pct"/>
            <w:noWrap w:val="0"/>
            <w:vAlign w:val="center"/>
          </w:tcPr>
          <w:p w14:paraId="55FC17D7">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1009" w:type="pct"/>
            <w:noWrap w:val="0"/>
            <w:vAlign w:val="center"/>
          </w:tcPr>
          <w:p w14:paraId="5E1FC3BD">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主材乙供</w:t>
            </w:r>
          </w:p>
        </w:tc>
      </w:tr>
      <w:tr w14:paraId="2CE6E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49" w:type="pct"/>
            <w:noWrap w:val="0"/>
            <w:vAlign w:val="center"/>
          </w:tcPr>
          <w:p w14:paraId="2B2EDE4F">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6</w:t>
            </w:r>
          </w:p>
        </w:tc>
        <w:tc>
          <w:tcPr>
            <w:tcW w:w="1135" w:type="pct"/>
            <w:noWrap w:val="0"/>
            <w:vAlign w:val="center"/>
          </w:tcPr>
          <w:p w14:paraId="10CCBA6D">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default"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膨胀节更换</w:t>
            </w:r>
          </w:p>
        </w:tc>
        <w:tc>
          <w:tcPr>
            <w:tcW w:w="974" w:type="pct"/>
            <w:noWrap w:val="0"/>
            <w:vAlign w:val="center"/>
          </w:tcPr>
          <w:p w14:paraId="53F477C5">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4000mm×1600mm</w:t>
            </w:r>
          </w:p>
        </w:tc>
        <w:tc>
          <w:tcPr>
            <w:tcW w:w="389" w:type="pct"/>
            <w:noWrap w:val="0"/>
            <w:vAlign w:val="center"/>
          </w:tcPr>
          <w:p w14:paraId="36CD09CD">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1</w:t>
            </w:r>
          </w:p>
        </w:tc>
        <w:tc>
          <w:tcPr>
            <w:tcW w:w="363" w:type="pct"/>
            <w:noWrap w:val="0"/>
            <w:vAlign w:val="center"/>
          </w:tcPr>
          <w:p w14:paraId="750B55D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个</w:t>
            </w:r>
          </w:p>
        </w:tc>
        <w:tc>
          <w:tcPr>
            <w:tcW w:w="448" w:type="pct"/>
            <w:noWrap w:val="0"/>
            <w:vAlign w:val="center"/>
          </w:tcPr>
          <w:p w14:paraId="7CB45251">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429" w:type="pct"/>
            <w:noWrap w:val="0"/>
            <w:vAlign w:val="center"/>
          </w:tcPr>
          <w:p w14:paraId="76B12920">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1009" w:type="pct"/>
            <w:noWrap w:val="0"/>
            <w:vAlign w:val="center"/>
          </w:tcPr>
          <w:p w14:paraId="6709E072">
            <w:pPr>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主材乙供，</w:t>
            </w:r>
          </w:p>
          <w:p w14:paraId="437E5C98">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default" w:ascii="方正仿宋_GB2312" w:hAnsi="方正仿宋_GB2312" w:eastAsia="方正仿宋_GB2312" w:cs="方正仿宋_GB2312"/>
                <w:i w:val="0"/>
                <w:iCs w:val="0"/>
                <w:color w:val="000000"/>
                <w:kern w:val="0"/>
                <w:sz w:val="22"/>
                <w:szCs w:val="22"/>
                <w:u w:val="none"/>
                <w:lang w:val="en-US" w:eastAsia="zh-CN" w:bidi="ar"/>
              </w:rPr>
            </w:pPr>
            <w:r>
              <w:rPr>
                <w:rFonts w:hint="eastAsia" w:ascii="仿宋" w:hAnsi="仿宋" w:eastAsia="仿宋" w:cs="仿宋"/>
                <w:bCs/>
                <w:sz w:val="24"/>
                <w:szCs w:val="24"/>
                <w:lang w:val="en-US" w:eastAsia="zh-CN"/>
              </w:rPr>
              <w:t>含脚手架搭设（脚手架面积约200㎡）</w:t>
            </w:r>
          </w:p>
        </w:tc>
      </w:tr>
      <w:tr w14:paraId="38289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8"/>
            <w:noWrap w:val="0"/>
            <w:vAlign w:val="center"/>
          </w:tcPr>
          <w:p w14:paraId="72807756">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二、4#脱硫系统</w:t>
            </w:r>
          </w:p>
        </w:tc>
      </w:tr>
      <w:tr w14:paraId="73729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49" w:type="pct"/>
            <w:noWrap w:val="0"/>
            <w:vAlign w:val="center"/>
          </w:tcPr>
          <w:p w14:paraId="77D8B739">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7</w:t>
            </w:r>
          </w:p>
        </w:tc>
        <w:tc>
          <w:tcPr>
            <w:tcW w:w="1135" w:type="pct"/>
            <w:noWrap w:val="0"/>
            <w:vAlign w:val="center"/>
          </w:tcPr>
          <w:p w14:paraId="451D0181">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default"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膨胀节更换</w:t>
            </w:r>
          </w:p>
        </w:tc>
        <w:tc>
          <w:tcPr>
            <w:tcW w:w="974" w:type="pct"/>
            <w:noWrap w:val="0"/>
            <w:vAlign w:val="center"/>
          </w:tcPr>
          <w:p w14:paraId="28CC49C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4000mm×1600mm</w:t>
            </w:r>
          </w:p>
        </w:tc>
        <w:tc>
          <w:tcPr>
            <w:tcW w:w="389" w:type="pct"/>
            <w:noWrap w:val="0"/>
            <w:vAlign w:val="center"/>
          </w:tcPr>
          <w:p w14:paraId="0925DD4F">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1</w:t>
            </w:r>
          </w:p>
        </w:tc>
        <w:tc>
          <w:tcPr>
            <w:tcW w:w="363" w:type="pct"/>
            <w:noWrap w:val="0"/>
            <w:vAlign w:val="center"/>
          </w:tcPr>
          <w:p w14:paraId="4D66AE0C">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个</w:t>
            </w:r>
          </w:p>
        </w:tc>
        <w:tc>
          <w:tcPr>
            <w:tcW w:w="448" w:type="pct"/>
            <w:noWrap w:val="0"/>
            <w:vAlign w:val="center"/>
          </w:tcPr>
          <w:p w14:paraId="01D08167">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429" w:type="pct"/>
            <w:tcBorders>
              <w:bottom w:val="single" w:color="auto" w:sz="4" w:space="0"/>
            </w:tcBorders>
            <w:noWrap w:val="0"/>
            <w:vAlign w:val="center"/>
          </w:tcPr>
          <w:p w14:paraId="6F6BE20C">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1009" w:type="pct"/>
            <w:noWrap w:val="0"/>
            <w:vAlign w:val="center"/>
          </w:tcPr>
          <w:p w14:paraId="53360248">
            <w:pPr>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主材乙供，</w:t>
            </w:r>
          </w:p>
          <w:p w14:paraId="3973B0A4">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仿宋" w:hAnsi="仿宋" w:eastAsia="仿宋" w:cs="仿宋"/>
                <w:bCs/>
                <w:sz w:val="24"/>
                <w:szCs w:val="24"/>
                <w:lang w:val="en-US" w:eastAsia="zh-CN"/>
              </w:rPr>
              <w:t>含脚手架搭设（脚手架面积约200㎡）</w:t>
            </w:r>
          </w:p>
        </w:tc>
      </w:tr>
      <w:tr w14:paraId="21251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49" w:type="pct"/>
            <w:noWrap w:val="0"/>
            <w:vAlign w:val="center"/>
          </w:tcPr>
          <w:p w14:paraId="3AA078A0">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default"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8</w:t>
            </w:r>
          </w:p>
        </w:tc>
        <w:tc>
          <w:tcPr>
            <w:tcW w:w="1135" w:type="pct"/>
            <w:noWrap w:val="0"/>
            <w:vAlign w:val="center"/>
          </w:tcPr>
          <w:p w14:paraId="24DB6A95">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烟道保温修复</w:t>
            </w:r>
          </w:p>
        </w:tc>
        <w:tc>
          <w:tcPr>
            <w:tcW w:w="974" w:type="pct"/>
            <w:noWrap w:val="0"/>
            <w:vAlign w:val="center"/>
          </w:tcPr>
          <w:p w14:paraId="513E80E6">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岩棉</w:t>
            </w:r>
          </w:p>
        </w:tc>
        <w:tc>
          <w:tcPr>
            <w:tcW w:w="389" w:type="pct"/>
            <w:noWrap w:val="0"/>
            <w:vAlign w:val="center"/>
          </w:tcPr>
          <w:p w14:paraId="1F8B4199">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25</w:t>
            </w:r>
          </w:p>
        </w:tc>
        <w:tc>
          <w:tcPr>
            <w:tcW w:w="363" w:type="pct"/>
            <w:noWrap w:val="0"/>
            <w:vAlign w:val="center"/>
          </w:tcPr>
          <w:p w14:paraId="0ABE77F2">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M²</w:t>
            </w:r>
          </w:p>
        </w:tc>
        <w:tc>
          <w:tcPr>
            <w:tcW w:w="448" w:type="pct"/>
            <w:noWrap w:val="0"/>
            <w:vAlign w:val="center"/>
          </w:tcPr>
          <w:p w14:paraId="469F9471">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429" w:type="pct"/>
            <w:tcBorders>
              <w:bottom w:val="single" w:color="auto" w:sz="4" w:space="0"/>
            </w:tcBorders>
            <w:noWrap w:val="0"/>
            <w:vAlign w:val="center"/>
          </w:tcPr>
          <w:p w14:paraId="23AED12C">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p>
        </w:tc>
        <w:tc>
          <w:tcPr>
            <w:tcW w:w="1009" w:type="pct"/>
            <w:noWrap w:val="0"/>
            <w:vAlign w:val="center"/>
          </w:tcPr>
          <w:p w14:paraId="2741D67E">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主材乙供</w:t>
            </w:r>
          </w:p>
        </w:tc>
      </w:tr>
      <w:tr w14:paraId="27A10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8"/>
            <w:noWrap w:val="0"/>
            <w:vAlign w:val="center"/>
          </w:tcPr>
          <w:p w14:paraId="12821C3A">
            <w:pPr>
              <w:keepNext w:val="0"/>
              <w:keepLines w:val="0"/>
              <w:widowControl/>
              <w:suppressLineNumbers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000000"/>
                <w:kern w:val="0"/>
                <w:sz w:val="22"/>
                <w:szCs w:val="22"/>
                <w:u w:val="none"/>
                <w:lang w:val="en-US" w:eastAsia="zh-CN" w:bidi="ar"/>
              </w:rPr>
            </w:pPr>
            <w:r>
              <w:rPr>
                <w:rFonts w:hint="eastAsia" w:ascii="方正仿宋_GB2312" w:hAnsi="方正仿宋_GB2312" w:eastAsia="方正仿宋_GB2312" w:cs="方正仿宋_GB2312"/>
                <w:i w:val="0"/>
                <w:iCs w:val="0"/>
                <w:color w:val="000000"/>
                <w:kern w:val="0"/>
                <w:sz w:val="22"/>
                <w:szCs w:val="22"/>
                <w:u w:val="none"/>
                <w:lang w:val="en-US" w:eastAsia="zh-CN" w:bidi="ar"/>
              </w:rPr>
              <w:t>合计：</w:t>
            </w:r>
            <w:r>
              <w:rPr>
                <w:rFonts w:hint="eastAsia" w:ascii="方正仿宋_GB2312" w:hAnsi="方正仿宋_GB2312" w:eastAsia="方正仿宋_GB2312" w:cs="方正仿宋_GB2312"/>
                <w:i w:val="0"/>
                <w:iCs w:val="0"/>
                <w:color w:val="000000"/>
                <w:kern w:val="0"/>
                <w:sz w:val="22"/>
                <w:szCs w:val="22"/>
                <w:u w:val="single"/>
                <w:lang w:val="en-US" w:eastAsia="zh-CN" w:bidi="ar"/>
              </w:rPr>
              <w:t xml:space="preserve">              </w:t>
            </w:r>
            <w:r>
              <w:rPr>
                <w:rFonts w:hint="eastAsia" w:ascii="方正仿宋_GB2312" w:hAnsi="方正仿宋_GB2312" w:eastAsia="方正仿宋_GB2312" w:cs="方正仿宋_GB2312"/>
                <w:i w:val="0"/>
                <w:iCs w:val="0"/>
                <w:color w:val="000000"/>
                <w:kern w:val="0"/>
                <w:sz w:val="22"/>
                <w:szCs w:val="22"/>
                <w:u w:val="none"/>
                <w:lang w:val="en-US" w:eastAsia="zh-CN" w:bidi="ar"/>
              </w:rPr>
              <w:t>（须写明税率）</w:t>
            </w:r>
          </w:p>
        </w:tc>
      </w:tr>
    </w:tbl>
    <w:p w14:paraId="339FDD72">
      <w:pPr>
        <w:pStyle w:val="3"/>
        <w:numPr>
          <w:ilvl w:val="0"/>
          <w:numId w:val="0"/>
        </w:numPr>
        <w:adjustRightInd w:val="0"/>
        <w:snapToGrid w:val="0"/>
        <w:spacing w:line="360" w:lineRule="auto"/>
        <w:jc w:val="both"/>
        <w:outlineLvl w:val="0"/>
        <w:rPr>
          <w:rFonts w:hint="eastAsia" w:ascii="黑体" w:hAnsi="黑体" w:eastAsia="黑体" w:cs="黑体"/>
          <w:b w:val="0"/>
          <w:bCs/>
          <w:color w:val="auto"/>
          <w:sz w:val="32"/>
          <w:szCs w:val="32"/>
          <w:lang w:val="en-US" w:eastAsia="zh-CN"/>
        </w:rPr>
      </w:pPr>
    </w:p>
    <w:p w14:paraId="20EF618A">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71134509">
      <w:pPr>
        <w:pStyle w:val="3"/>
        <w:numPr>
          <w:ilvl w:val="0"/>
          <w:numId w:val="0"/>
        </w:numPr>
        <w:adjustRightInd w:val="0"/>
        <w:snapToGrid w:val="0"/>
        <w:spacing w:line="360" w:lineRule="auto"/>
        <w:jc w:val="both"/>
        <w:outlineLvl w:val="0"/>
        <w:rPr>
          <w:rFonts w:hint="eastAsia" w:ascii="黑体" w:hAnsi="黑体" w:eastAsia="黑体" w:cs="黑体"/>
          <w:b w:val="0"/>
          <w:bCs/>
          <w:color w:val="auto"/>
          <w:sz w:val="32"/>
          <w:szCs w:val="32"/>
          <w:lang w:val="en-US" w:eastAsia="zh-CN"/>
        </w:rPr>
      </w:pPr>
      <w:bookmarkStart w:id="0" w:name="_GoBack"/>
      <w:bookmarkEnd w:id="0"/>
    </w:p>
    <w:p w14:paraId="219265BB">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合同格式</w:t>
      </w:r>
    </w:p>
    <w:p w14:paraId="4FD0C381">
      <w:pPr>
        <w:pStyle w:val="3"/>
        <w:numPr>
          <w:ilvl w:val="0"/>
          <w:numId w:val="0"/>
        </w:numPr>
        <w:adjustRightInd w:val="0"/>
        <w:snapToGrid w:val="0"/>
        <w:spacing w:line="360" w:lineRule="auto"/>
        <w:jc w:val="center"/>
        <w:outlineLvl w:val="0"/>
        <w:rPr>
          <w:rFonts w:hint="default"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（公司合同格式给投标单位报价参考使用，无需邮寄）</w:t>
      </w:r>
    </w:p>
    <w:p w14:paraId="06595C67">
      <w:pPr>
        <w:pStyle w:val="8"/>
        <w:keepNext w:val="0"/>
        <w:keepLines w:val="0"/>
        <w:pageBreakBefore w:val="0"/>
        <w:widowControl w:val="0"/>
        <w:kinsoku/>
        <w:wordWrap/>
        <w:overflowPunct/>
        <w:topLinePunct w:val="0"/>
        <w:autoSpaceDE/>
        <w:autoSpaceDN/>
        <w:bidi w:val="0"/>
        <w:adjustRightInd w:val="0"/>
        <w:snapToGrid w:val="0"/>
        <w:spacing w:before="156" w:beforeLines="50" w:line="560" w:lineRule="exact"/>
        <w:textAlignment w:val="auto"/>
        <w:rPr>
          <w:rFonts w:hint="eastAsia" w:ascii="仿宋" w:hAnsi="仿宋" w:eastAsia="仿宋" w:cs="仿宋"/>
          <w:color w:val="auto"/>
          <w:kern w:val="2"/>
          <w:sz w:val="28"/>
          <w:szCs w:val="28"/>
        </w:rPr>
      </w:pPr>
      <w:r>
        <w:rPr>
          <w:rFonts w:hint="eastAsia" w:ascii="仿宋" w:hAnsi="仿宋" w:eastAsia="仿宋" w:cs="仿宋"/>
          <w:color w:val="auto"/>
          <w:kern w:val="2"/>
          <w:sz w:val="28"/>
          <w:szCs w:val="28"/>
        </w:rPr>
        <w:t>（甲方）</w:t>
      </w:r>
      <w:r>
        <w:rPr>
          <w:rFonts w:hint="eastAsia" w:ascii="仿宋" w:hAnsi="仿宋" w:eastAsia="仿宋" w:cs="仿宋"/>
          <w:color w:val="auto"/>
          <w:kern w:val="2"/>
          <w:sz w:val="28"/>
          <w:szCs w:val="28"/>
          <w:u w:val="single"/>
          <w:lang w:val="en-US" w:eastAsia="zh-CN" w:bidi="ar-SA"/>
        </w:rPr>
        <w:t xml:space="preserve"> 湖南省湘衡盐化有限责任公司 </w:t>
      </w:r>
    </w:p>
    <w:p w14:paraId="76EC0BFA">
      <w:pPr>
        <w:pStyle w:val="8"/>
        <w:keepNext w:val="0"/>
        <w:keepLines w:val="0"/>
        <w:pageBreakBefore w:val="0"/>
        <w:widowControl w:val="0"/>
        <w:kinsoku/>
        <w:wordWrap/>
        <w:overflowPunct/>
        <w:topLinePunct w:val="0"/>
        <w:autoSpaceDE/>
        <w:autoSpaceDN/>
        <w:bidi w:val="0"/>
        <w:adjustRightInd w:val="0"/>
        <w:snapToGrid w:val="0"/>
        <w:spacing w:before="156" w:beforeLines="50" w:line="560" w:lineRule="exact"/>
        <w:textAlignment w:val="auto"/>
        <w:rPr>
          <w:rFonts w:hint="eastAsia" w:ascii="仿宋" w:hAnsi="仿宋" w:eastAsia="仿宋" w:cs="仿宋"/>
          <w:color w:val="auto"/>
          <w:kern w:val="2"/>
          <w:sz w:val="28"/>
          <w:szCs w:val="28"/>
          <w:lang w:val="en-US"/>
        </w:rPr>
      </w:pPr>
      <w:r>
        <w:rPr>
          <w:rFonts w:hint="eastAsia" w:ascii="仿宋" w:hAnsi="仿宋" w:eastAsia="仿宋" w:cs="仿宋"/>
          <w:color w:val="auto"/>
          <w:kern w:val="2"/>
          <w:sz w:val="28"/>
          <w:szCs w:val="28"/>
        </w:rPr>
        <w:t>（乙方</w:t>
      </w:r>
      <w:r>
        <w:rPr>
          <w:rFonts w:hint="eastAsia" w:ascii="仿宋" w:hAnsi="仿宋" w:eastAsia="仿宋" w:cs="仿宋"/>
          <w:color w:val="auto"/>
          <w:kern w:val="2"/>
          <w:sz w:val="28"/>
          <w:szCs w:val="28"/>
          <w:u w:val="single"/>
          <w:lang w:val="en-US" w:eastAsia="zh-CN" w:bidi="ar-SA"/>
        </w:rPr>
        <w:t xml:space="preserve">）                            </w:t>
      </w:r>
    </w:p>
    <w:p w14:paraId="05440BB8">
      <w:pPr>
        <w:pStyle w:val="8"/>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auto"/>
          <w:kern w:val="2"/>
          <w:sz w:val="28"/>
          <w:szCs w:val="28"/>
          <w:lang w:eastAsia="zh-CN"/>
        </w:rPr>
      </w:pPr>
      <w:r>
        <w:rPr>
          <w:rFonts w:hint="eastAsia" w:ascii="仿宋" w:hAnsi="仿宋" w:eastAsia="仿宋" w:cs="仿宋"/>
          <w:color w:val="auto"/>
          <w:kern w:val="2"/>
          <w:sz w:val="28"/>
          <w:szCs w:val="28"/>
        </w:rPr>
        <w:t>为了保护甲、乙双方合法权益，根据《中华人民共和国民法典</w:t>
      </w:r>
      <w:r>
        <w:rPr>
          <w:rFonts w:hint="eastAsia" w:ascii="仿宋" w:hAnsi="仿宋" w:eastAsia="仿宋" w:cs="仿宋"/>
          <w:color w:val="auto"/>
          <w:kern w:val="2"/>
          <w:sz w:val="28"/>
          <w:szCs w:val="28"/>
          <w:lang w:eastAsia="zh-CN"/>
        </w:rPr>
        <w:t>》</w:t>
      </w:r>
      <w:r>
        <w:rPr>
          <w:rFonts w:hint="eastAsia" w:ascii="仿宋" w:hAnsi="仿宋" w:eastAsia="仿宋" w:cs="仿宋"/>
          <w:color w:val="auto"/>
          <w:kern w:val="2"/>
          <w:sz w:val="28"/>
          <w:szCs w:val="28"/>
        </w:rPr>
        <w:t>及其他有关</w:t>
      </w:r>
      <w:r>
        <w:rPr>
          <w:rFonts w:hint="eastAsia" w:ascii="仿宋" w:hAnsi="仿宋" w:eastAsia="仿宋" w:cs="仿宋"/>
          <w:color w:val="auto"/>
          <w:kern w:val="2"/>
          <w:sz w:val="28"/>
          <w:szCs w:val="28"/>
          <w:lang w:eastAsia="zh-CN"/>
        </w:rPr>
        <w:t>法律法规</w:t>
      </w:r>
      <w:r>
        <w:rPr>
          <w:rFonts w:hint="eastAsia" w:ascii="仿宋" w:hAnsi="仿宋" w:eastAsia="仿宋" w:cs="仿宋"/>
          <w:color w:val="auto"/>
          <w:kern w:val="2"/>
          <w:sz w:val="28"/>
          <w:szCs w:val="28"/>
        </w:rPr>
        <w:t>、规章，遵循平等、自愿、公平和诚实信用的原则</w:t>
      </w:r>
      <w:r>
        <w:rPr>
          <w:rFonts w:hint="eastAsia" w:ascii="仿宋" w:hAnsi="仿宋" w:eastAsia="仿宋" w:cs="仿宋"/>
          <w:color w:val="auto"/>
          <w:kern w:val="2"/>
          <w:sz w:val="28"/>
          <w:szCs w:val="28"/>
          <w:lang w:eastAsia="zh-CN"/>
        </w:rPr>
        <w:t>，甲乙双方协商一致后签订本合同，以供双方共同遵守执行。</w:t>
      </w:r>
    </w:p>
    <w:p w14:paraId="4A0E3CD0">
      <w:pPr>
        <w:pStyle w:val="8"/>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color w:val="auto"/>
          <w:kern w:val="2"/>
          <w:sz w:val="28"/>
          <w:szCs w:val="28"/>
          <w:u w:val="single"/>
          <w:lang w:val="en-US" w:eastAsia="zh-CN" w:bidi="ar-SA"/>
        </w:rPr>
      </w:pPr>
      <w:r>
        <w:rPr>
          <w:rFonts w:hint="eastAsia" w:ascii="仿宋" w:hAnsi="仿宋" w:eastAsia="仿宋" w:cs="仿宋"/>
          <w:b/>
          <w:color w:val="auto"/>
          <w:kern w:val="2"/>
          <w:sz w:val="28"/>
          <w:szCs w:val="28"/>
          <w:lang w:eastAsia="zh-CN"/>
        </w:rPr>
        <w:t>一、</w:t>
      </w:r>
      <w:r>
        <w:rPr>
          <w:rFonts w:hint="eastAsia" w:ascii="仿宋" w:hAnsi="仿宋" w:eastAsia="仿宋" w:cs="仿宋"/>
          <w:b/>
          <w:color w:val="auto"/>
          <w:kern w:val="2"/>
          <w:sz w:val="28"/>
          <w:szCs w:val="28"/>
        </w:rPr>
        <w:t>项目信息</w:t>
      </w:r>
    </w:p>
    <w:p w14:paraId="221C7F48">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outlineLvl w:val="0"/>
        <w:rPr>
          <w:rFonts w:hint="default" w:ascii="仿宋" w:hAnsi="仿宋" w:eastAsia="仿宋" w:cs="仿宋"/>
          <w:b w:val="0"/>
          <w:bCs/>
          <w:color w:val="auto"/>
          <w:sz w:val="28"/>
          <w:szCs w:val="28"/>
          <w:lang w:val="en-US"/>
        </w:rPr>
      </w:pPr>
      <w:r>
        <w:rPr>
          <w:rFonts w:hint="eastAsia" w:ascii="仿宋" w:hAnsi="仿宋" w:eastAsia="仿宋" w:cs="仿宋"/>
          <w:color w:val="auto"/>
          <w:kern w:val="2"/>
          <w:sz w:val="28"/>
          <w:szCs w:val="28"/>
        </w:rPr>
        <w:t>（1）项目名称：</w:t>
      </w:r>
      <w:r>
        <w:rPr>
          <w:rFonts w:hint="eastAsia" w:ascii="仿宋" w:hAnsi="仿宋" w:eastAsia="仿宋" w:cs="仿宋"/>
          <w:color w:val="auto"/>
          <w:kern w:val="2"/>
          <w:sz w:val="28"/>
          <w:szCs w:val="28"/>
          <w:u w:val="single"/>
          <w:lang w:val="en-US" w:eastAsia="zh-CN"/>
        </w:rPr>
        <w:t xml:space="preserve">                                         </w:t>
      </w:r>
    </w:p>
    <w:p w14:paraId="4C2042A4">
      <w:pPr>
        <w:pStyle w:val="8"/>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仿宋" w:hAnsi="仿宋" w:eastAsia="仿宋" w:cs="仿宋"/>
          <w:color w:val="auto"/>
          <w:sz w:val="28"/>
          <w:szCs w:val="28"/>
          <w:u w:val="single"/>
          <w:lang w:val="en-US" w:eastAsia="zh-CN"/>
        </w:rPr>
      </w:pPr>
      <w:r>
        <w:rPr>
          <w:rFonts w:hint="eastAsia" w:ascii="仿宋" w:hAnsi="仿宋" w:eastAsia="仿宋" w:cs="仿宋"/>
          <w:color w:val="auto"/>
          <w:kern w:val="2"/>
          <w:sz w:val="28"/>
          <w:szCs w:val="28"/>
        </w:rPr>
        <w:t>（</w:t>
      </w:r>
      <w:r>
        <w:rPr>
          <w:rFonts w:hint="eastAsia" w:ascii="仿宋" w:hAnsi="仿宋" w:eastAsia="仿宋" w:cs="仿宋"/>
          <w:color w:val="auto"/>
          <w:kern w:val="2"/>
          <w:sz w:val="28"/>
          <w:szCs w:val="28"/>
          <w:lang w:val="en-US" w:eastAsia="zh-CN"/>
        </w:rPr>
        <w:t>2</w:t>
      </w:r>
      <w:r>
        <w:rPr>
          <w:rFonts w:hint="eastAsia" w:ascii="仿宋" w:hAnsi="仿宋" w:eastAsia="仿宋" w:cs="仿宋"/>
          <w:color w:val="auto"/>
          <w:kern w:val="2"/>
          <w:sz w:val="28"/>
          <w:szCs w:val="28"/>
        </w:rPr>
        <w:t>）项目</w:t>
      </w:r>
      <w:r>
        <w:rPr>
          <w:rFonts w:hint="eastAsia" w:ascii="仿宋" w:hAnsi="仿宋" w:eastAsia="仿宋" w:cs="仿宋"/>
          <w:color w:val="auto"/>
          <w:kern w:val="2"/>
          <w:sz w:val="28"/>
          <w:szCs w:val="28"/>
          <w:lang w:eastAsia="zh-CN"/>
        </w:rPr>
        <w:t>地点</w:t>
      </w:r>
      <w:r>
        <w:rPr>
          <w:rFonts w:hint="eastAsia" w:ascii="仿宋" w:hAnsi="仿宋" w:eastAsia="仿宋" w:cs="仿宋"/>
          <w:color w:val="auto"/>
          <w:kern w:val="2"/>
          <w:sz w:val="28"/>
          <w:szCs w:val="28"/>
        </w:rPr>
        <w:t>：</w:t>
      </w:r>
      <w:r>
        <w:rPr>
          <w:rFonts w:hint="eastAsia" w:ascii="仿宋" w:hAnsi="仿宋" w:eastAsia="仿宋" w:cs="仿宋"/>
          <w:color w:val="auto"/>
          <w:sz w:val="28"/>
          <w:szCs w:val="28"/>
          <w:u w:val="single"/>
          <w:lang w:val="en-US" w:eastAsia="zh-CN"/>
        </w:rPr>
        <w:t xml:space="preserve">                                         </w:t>
      </w:r>
    </w:p>
    <w:p w14:paraId="61226B32">
      <w:pPr>
        <w:pStyle w:val="8"/>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仿宋" w:hAnsi="仿宋" w:eastAsia="仿宋" w:cs="仿宋"/>
          <w:color w:val="auto"/>
          <w:kern w:val="2"/>
          <w:sz w:val="28"/>
          <w:szCs w:val="28"/>
          <w:u w:val="single"/>
          <w:lang w:val="en-US" w:eastAsia="zh-CN"/>
        </w:rPr>
      </w:pPr>
      <w:r>
        <w:rPr>
          <w:rFonts w:hint="eastAsia" w:ascii="仿宋" w:hAnsi="仿宋" w:eastAsia="仿宋" w:cs="仿宋"/>
          <w:color w:val="auto"/>
          <w:kern w:val="2"/>
          <w:sz w:val="28"/>
          <w:szCs w:val="28"/>
          <w:u w:val="none"/>
          <w:lang w:eastAsia="zh-CN"/>
        </w:rPr>
        <w:t>（</w:t>
      </w:r>
      <w:r>
        <w:rPr>
          <w:rFonts w:hint="eastAsia" w:ascii="仿宋" w:hAnsi="仿宋" w:eastAsia="仿宋" w:cs="仿宋"/>
          <w:color w:val="auto"/>
          <w:kern w:val="2"/>
          <w:sz w:val="28"/>
          <w:szCs w:val="28"/>
          <w:u w:val="none"/>
          <w:lang w:val="en-US" w:eastAsia="zh-CN"/>
        </w:rPr>
        <w:t>3</w:t>
      </w:r>
      <w:r>
        <w:rPr>
          <w:rFonts w:hint="eastAsia" w:ascii="仿宋" w:hAnsi="仿宋" w:eastAsia="仿宋" w:cs="仿宋"/>
          <w:color w:val="auto"/>
          <w:kern w:val="2"/>
          <w:sz w:val="28"/>
          <w:szCs w:val="28"/>
          <w:u w:val="none"/>
          <w:lang w:eastAsia="zh-CN"/>
        </w:rPr>
        <w:t>）现场条件：</w:t>
      </w:r>
      <w:r>
        <w:rPr>
          <w:rFonts w:hint="eastAsia" w:ascii="仿宋" w:hAnsi="仿宋" w:eastAsia="仿宋" w:cs="仿宋"/>
          <w:color w:val="auto"/>
          <w:kern w:val="2"/>
          <w:sz w:val="28"/>
          <w:szCs w:val="28"/>
          <w:u w:val="single"/>
          <w:lang w:val="en-US" w:eastAsia="zh-CN"/>
        </w:rPr>
        <w:t xml:space="preserve">施工时需对地面及周边设备进行必要的防护   </w:t>
      </w:r>
    </w:p>
    <w:p w14:paraId="44B83748">
      <w:pPr>
        <w:pStyle w:val="8"/>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hAnsi="仿宋" w:eastAsia="仿宋" w:cs="仿宋"/>
          <w:b/>
          <w:color w:val="auto"/>
          <w:kern w:val="2"/>
          <w:sz w:val="28"/>
          <w:szCs w:val="28"/>
          <w:lang w:eastAsia="zh-CN"/>
        </w:rPr>
      </w:pPr>
      <w:r>
        <w:rPr>
          <w:rFonts w:hint="eastAsia" w:ascii="仿宋" w:hAnsi="仿宋" w:eastAsia="仿宋" w:cs="仿宋"/>
          <w:color w:val="auto"/>
          <w:kern w:val="2"/>
          <w:sz w:val="28"/>
          <w:szCs w:val="28"/>
          <w:u w:val="none"/>
          <w:lang w:val="en-US" w:eastAsia="zh-CN"/>
        </w:rPr>
        <w:t>（4）工程范围：</w:t>
      </w:r>
      <w:r>
        <w:rPr>
          <w:rFonts w:hint="eastAsia" w:ascii="仿宋" w:hAnsi="仿宋" w:eastAsia="仿宋" w:cs="仿宋"/>
          <w:color w:val="auto"/>
          <w:kern w:val="2"/>
          <w:sz w:val="28"/>
          <w:szCs w:val="28"/>
          <w:u w:val="single"/>
          <w:lang w:val="en-US" w:eastAsia="zh-CN"/>
        </w:rPr>
        <w:t xml:space="preserve">                                         </w:t>
      </w:r>
      <w:r>
        <w:rPr>
          <w:rFonts w:hint="eastAsia" w:ascii="仿宋" w:hAnsi="仿宋" w:eastAsia="仿宋" w:cs="仿宋"/>
          <w:color w:val="auto"/>
          <w:kern w:val="2"/>
          <w:sz w:val="28"/>
          <w:szCs w:val="28"/>
          <w:u w:val="single"/>
          <w:lang w:val="en-US" w:eastAsia="zh-CN"/>
        </w:rPr>
        <w:br w:type="textWrapping"/>
      </w:r>
      <w:r>
        <w:rPr>
          <w:rFonts w:hint="eastAsia" w:ascii="仿宋" w:hAnsi="仿宋" w:eastAsia="仿宋" w:cs="仿宋"/>
          <w:color w:val="auto"/>
          <w:kern w:val="2"/>
          <w:sz w:val="28"/>
          <w:szCs w:val="28"/>
        </w:rPr>
        <w:t>（</w:t>
      </w:r>
      <w:r>
        <w:rPr>
          <w:rFonts w:hint="eastAsia" w:ascii="仿宋" w:hAnsi="仿宋" w:eastAsia="仿宋" w:cs="仿宋"/>
          <w:color w:val="auto"/>
          <w:kern w:val="2"/>
          <w:sz w:val="28"/>
          <w:szCs w:val="28"/>
          <w:lang w:val="en-US" w:eastAsia="zh-CN"/>
        </w:rPr>
        <w:t>5</w:t>
      </w:r>
      <w:r>
        <w:rPr>
          <w:rFonts w:hint="eastAsia" w:ascii="仿宋" w:hAnsi="仿宋" w:eastAsia="仿宋" w:cs="仿宋"/>
          <w:color w:val="auto"/>
          <w:kern w:val="2"/>
          <w:sz w:val="28"/>
          <w:szCs w:val="28"/>
        </w:rPr>
        <w:t>）</w:t>
      </w:r>
      <w:r>
        <w:rPr>
          <w:rFonts w:hint="eastAsia" w:ascii="仿宋" w:hAnsi="仿宋" w:eastAsia="仿宋" w:cs="仿宋"/>
          <w:color w:val="auto"/>
          <w:kern w:val="2"/>
          <w:sz w:val="28"/>
          <w:szCs w:val="28"/>
          <w:u w:val="none"/>
          <w:lang w:eastAsia="zh-CN"/>
        </w:rPr>
        <w:t>质量标准：</w:t>
      </w:r>
      <w:r>
        <w:rPr>
          <w:rFonts w:hint="eastAsia" w:ascii="仿宋" w:hAnsi="仿宋" w:eastAsia="仿宋" w:cs="仿宋"/>
          <w:color w:val="auto"/>
          <w:kern w:val="2"/>
          <w:sz w:val="28"/>
          <w:szCs w:val="28"/>
          <w:u w:val="single"/>
          <w:lang w:eastAsia="zh-CN"/>
        </w:rPr>
        <w:t>施工需符合</w:t>
      </w:r>
      <w:r>
        <w:rPr>
          <w:rFonts w:hint="eastAsia" w:ascii="仿宋" w:hAnsi="仿宋" w:eastAsia="仿宋" w:cs="仿宋"/>
          <w:color w:val="auto"/>
          <w:kern w:val="2"/>
          <w:sz w:val="28"/>
          <w:szCs w:val="28"/>
          <w:u w:val="single"/>
          <w:lang w:val="en-US" w:eastAsia="zh-CN"/>
        </w:rPr>
        <w:t>国家法律法规、及相关规范要求。</w:t>
      </w:r>
    </w:p>
    <w:p w14:paraId="55F61B20">
      <w:pPr>
        <w:pStyle w:val="8"/>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color w:val="auto"/>
          <w:kern w:val="2"/>
          <w:sz w:val="28"/>
          <w:szCs w:val="28"/>
        </w:rPr>
      </w:pPr>
      <w:r>
        <w:rPr>
          <w:rFonts w:hint="eastAsia" w:ascii="仿宋" w:hAnsi="仿宋" w:eastAsia="仿宋" w:cs="仿宋"/>
          <w:b/>
          <w:color w:val="auto"/>
          <w:kern w:val="2"/>
          <w:sz w:val="28"/>
          <w:szCs w:val="28"/>
          <w:lang w:eastAsia="zh-CN"/>
        </w:rPr>
        <w:t>二、</w:t>
      </w:r>
      <w:r>
        <w:rPr>
          <w:rFonts w:hint="eastAsia" w:ascii="仿宋" w:hAnsi="仿宋" w:eastAsia="仿宋" w:cs="仿宋"/>
          <w:b/>
          <w:color w:val="auto"/>
          <w:kern w:val="2"/>
          <w:sz w:val="28"/>
          <w:szCs w:val="28"/>
        </w:rPr>
        <w:t>合同金额</w:t>
      </w:r>
    </w:p>
    <w:p w14:paraId="15234A1C">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rPr>
      </w:pP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lang w:val="en-US" w:eastAsia="zh-CN"/>
        </w:rPr>
        <w:t>1</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合同</w:t>
      </w:r>
      <w:r>
        <w:rPr>
          <w:rFonts w:hint="eastAsia" w:ascii="仿宋" w:hAnsi="仿宋" w:eastAsia="仿宋" w:cs="仿宋"/>
          <w:b w:val="0"/>
          <w:bCs/>
          <w:color w:val="auto"/>
          <w:kern w:val="2"/>
          <w:sz w:val="28"/>
          <w:szCs w:val="28"/>
          <w:lang w:val="en-US" w:eastAsia="zh-CN"/>
        </w:rPr>
        <w:t>签约价</w:t>
      </w:r>
      <w:r>
        <w:rPr>
          <w:rFonts w:hint="eastAsia" w:ascii="仿宋" w:hAnsi="仿宋" w:eastAsia="仿宋" w:cs="仿宋"/>
          <w:b w:val="0"/>
          <w:bCs/>
          <w:color w:val="auto"/>
          <w:kern w:val="2"/>
          <w:sz w:val="28"/>
          <w:szCs w:val="28"/>
        </w:rPr>
        <w:t>为：人民币</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大写):</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小写</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rPr>
        <w:t>元)</w:t>
      </w:r>
      <w:r>
        <w:rPr>
          <w:rFonts w:hint="eastAsia" w:ascii="仿宋" w:hAnsi="仿宋" w:eastAsia="仿宋" w:cs="仿宋"/>
          <w:b w:val="0"/>
          <w:bCs/>
          <w:color w:val="auto"/>
          <w:kern w:val="2"/>
          <w:sz w:val="28"/>
          <w:szCs w:val="28"/>
          <w:lang w:val="en-US" w:eastAsia="zh-CN"/>
        </w:rPr>
        <w:t>，</w:t>
      </w:r>
      <w:r>
        <w:rPr>
          <w:rFonts w:hint="eastAsia" w:ascii="仿宋" w:hAnsi="仿宋" w:eastAsia="仿宋" w:cs="仿宋"/>
          <w:b w:val="0"/>
          <w:bCs/>
          <w:color w:val="auto"/>
          <w:kern w:val="2"/>
          <w:sz w:val="28"/>
          <w:szCs w:val="28"/>
        </w:rPr>
        <w:t>税率</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rPr>
        <w:t>%</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如遇国家税收政策调整，未支付款项按新规定执行)</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含税合同</w:t>
      </w:r>
      <w:r>
        <w:rPr>
          <w:rFonts w:hint="eastAsia" w:ascii="仿宋" w:hAnsi="仿宋" w:eastAsia="仿宋" w:cs="仿宋"/>
          <w:b w:val="0"/>
          <w:bCs/>
          <w:color w:val="auto"/>
          <w:kern w:val="2"/>
          <w:sz w:val="28"/>
          <w:szCs w:val="28"/>
          <w:lang w:val="en-US" w:eastAsia="zh-CN"/>
        </w:rPr>
        <w:t>签约</w:t>
      </w:r>
      <w:r>
        <w:rPr>
          <w:rFonts w:hint="eastAsia" w:ascii="仿宋" w:hAnsi="仿宋" w:eastAsia="仿宋" w:cs="仿宋"/>
          <w:b w:val="0"/>
          <w:bCs/>
          <w:color w:val="auto"/>
          <w:kern w:val="2"/>
          <w:sz w:val="28"/>
          <w:szCs w:val="28"/>
        </w:rPr>
        <w:t>价</w:t>
      </w:r>
      <w:r>
        <w:rPr>
          <w:rFonts w:hint="eastAsia" w:ascii="仿宋" w:hAnsi="仿宋" w:eastAsia="仿宋" w:cs="仿宋"/>
          <w:b w:val="0"/>
          <w:bCs/>
          <w:color w:val="auto"/>
          <w:kern w:val="2"/>
          <w:sz w:val="28"/>
          <w:szCs w:val="28"/>
          <w:lang w:eastAsia="zh-CN"/>
        </w:rPr>
        <w:t>已</w:t>
      </w:r>
      <w:r>
        <w:rPr>
          <w:rFonts w:hint="eastAsia" w:ascii="仿宋" w:hAnsi="仿宋" w:eastAsia="仿宋" w:cs="仿宋"/>
          <w:b w:val="0"/>
          <w:bCs/>
          <w:color w:val="auto"/>
          <w:kern w:val="2"/>
          <w:sz w:val="28"/>
          <w:szCs w:val="28"/>
        </w:rPr>
        <w:t>包括完成符合合同规定要求的项目所必须的施工机具、设备进出场、</w:t>
      </w:r>
      <w:r>
        <w:rPr>
          <w:rFonts w:hint="eastAsia" w:ascii="仿宋" w:hAnsi="仿宋" w:eastAsia="仿宋" w:cs="仿宋"/>
          <w:b w:val="0"/>
          <w:bCs/>
          <w:color w:val="auto"/>
          <w:kern w:val="2"/>
          <w:sz w:val="28"/>
          <w:szCs w:val="28"/>
          <w:lang w:val="en-US" w:eastAsia="zh-CN"/>
        </w:rPr>
        <w:t>人工</w:t>
      </w:r>
      <w:r>
        <w:rPr>
          <w:rFonts w:hint="eastAsia" w:ascii="仿宋" w:hAnsi="仿宋" w:eastAsia="仿宋" w:cs="仿宋"/>
          <w:b w:val="0"/>
          <w:bCs/>
          <w:color w:val="auto"/>
          <w:kern w:val="2"/>
          <w:sz w:val="28"/>
          <w:szCs w:val="28"/>
        </w:rPr>
        <w:t>劳务、辅助材料、施工专用工具、装卸、安装、调试、工程管理、竣工验收、保险、利润、各种税费、安全文明施工费、</w:t>
      </w:r>
      <w:r>
        <w:rPr>
          <w:rFonts w:hint="eastAsia" w:ascii="仿宋" w:hAnsi="仿宋" w:eastAsia="仿宋" w:cs="仿宋"/>
          <w:b w:val="0"/>
          <w:bCs/>
          <w:color w:val="auto"/>
          <w:kern w:val="2"/>
          <w:sz w:val="28"/>
          <w:szCs w:val="28"/>
          <w:lang w:val="en-US" w:eastAsia="zh-CN"/>
        </w:rPr>
        <w:t>措施费、</w:t>
      </w:r>
      <w:r>
        <w:rPr>
          <w:rFonts w:hint="eastAsia" w:ascii="仿宋" w:hAnsi="仿宋" w:eastAsia="仿宋" w:cs="仿宋"/>
          <w:b w:val="0"/>
          <w:bCs/>
          <w:color w:val="auto"/>
          <w:kern w:val="2"/>
          <w:sz w:val="28"/>
          <w:szCs w:val="28"/>
        </w:rPr>
        <w:t>各类规费等法定取费、以及应由乙方承担的义务、</w:t>
      </w:r>
      <w:r>
        <w:rPr>
          <w:rFonts w:hint="eastAsia" w:ascii="仿宋" w:hAnsi="仿宋" w:eastAsia="仿宋" w:cs="仿宋"/>
          <w:b w:val="0"/>
          <w:bCs/>
          <w:color w:val="auto"/>
          <w:kern w:val="2"/>
          <w:sz w:val="28"/>
          <w:szCs w:val="28"/>
          <w:highlight w:val="none"/>
          <w:lang w:val="en-US" w:eastAsia="zh-CN"/>
        </w:rPr>
        <w:t>责</w:t>
      </w:r>
      <w:r>
        <w:rPr>
          <w:rFonts w:hint="eastAsia" w:ascii="仿宋" w:hAnsi="仿宋" w:eastAsia="仿宋" w:cs="仿宋"/>
          <w:b w:val="0"/>
          <w:bCs/>
          <w:color w:val="auto"/>
          <w:kern w:val="2"/>
          <w:sz w:val="28"/>
          <w:szCs w:val="28"/>
        </w:rPr>
        <w:t>任和风险等一切费用。</w:t>
      </w:r>
    </w:p>
    <w:p w14:paraId="387D79C6">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sz w:val="28"/>
          <w:szCs w:val="28"/>
        </w:rPr>
      </w:pPr>
      <w:r>
        <w:rPr>
          <w:rFonts w:hint="eastAsia" w:ascii="仿宋" w:hAnsi="仿宋" w:eastAsia="仿宋" w:cs="仿宋"/>
          <w:b w:val="0"/>
          <w:bCs/>
          <w:color w:val="auto"/>
          <w:kern w:val="2"/>
          <w:sz w:val="28"/>
          <w:szCs w:val="28"/>
          <w:lang w:val="en-US" w:eastAsia="zh-CN"/>
        </w:rPr>
        <w:t>（2）</w:t>
      </w:r>
      <w:r>
        <w:rPr>
          <w:rFonts w:hint="eastAsia" w:ascii="仿宋" w:hAnsi="仿宋" w:eastAsia="仿宋" w:cs="仿宋"/>
          <w:sz w:val="28"/>
          <w:szCs w:val="28"/>
        </w:rPr>
        <w:t>工程量以甲方</w:t>
      </w:r>
      <w:r>
        <w:rPr>
          <w:rFonts w:hint="eastAsia" w:ascii="仿宋" w:hAnsi="仿宋" w:eastAsia="仿宋" w:cs="仿宋"/>
          <w:sz w:val="28"/>
          <w:szCs w:val="28"/>
          <w:lang w:val="en-US" w:eastAsia="zh-CN"/>
        </w:rPr>
        <w:t>书面</w:t>
      </w:r>
      <w:r>
        <w:rPr>
          <w:rFonts w:hint="eastAsia" w:ascii="仿宋" w:hAnsi="仿宋" w:eastAsia="仿宋" w:cs="仿宋"/>
          <w:sz w:val="28"/>
          <w:szCs w:val="28"/>
        </w:rPr>
        <w:t>确认的</w:t>
      </w:r>
      <w:r>
        <w:rPr>
          <w:rFonts w:hint="eastAsia" w:ascii="仿宋" w:hAnsi="仿宋" w:eastAsia="仿宋" w:cs="仿宋"/>
          <w:sz w:val="28"/>
          <w:szCs w:val="28"/>
          <w:lang w:val="en-US" w:eastAsia="zh-CN"/>
        </w:rPr>
        <w:t>现场实际</w:t>
      </w:r>
      <w:r>
        <w:rPr>
          <w:rFonts w:hint="eastAsia" w:ascii="仿宋" w:hAnsi="仿宋" w:eastAsia="仿宋" w:cs="仿宋"/>
          <w:sz w:val="28"/>
          <w:szCs w:val="28"/>
        </w:rPr>
        <w:t>工程量为准，按实结算。</w:t>
      </w:r>
    </w:p>
    <w:p w14:paraId="3C40B319">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lang w:val="en-US" w:eastAsia="zh-CN"/>
        </w:rPr>
        <w:t>3</w:t>
      </w:r>
      <w:r>
        <w:rPr>
          <w:rFonts w:hint="eastAsia" w:ascii="仿宋" w:hAnsi="仿宋" w:eastAsia="仿宋" w:cs="仿宋"/>
          <w:b w:val="0"/>
          <w:bCs/>
          <w:color w:val="auto"/>
          <w:kern w:val="2"/>
          <w:sz w:val="28"/>
          <w:szCs w:val="28"/>
          <w:lang w:eastAsia="zh-CN"/>
        </w:rPr>
        <w:t>）工程量清单</w:t>
      </w:r>
      <w:r>
        <w:rPr>
          <w:rFonts w:hint="eastAsia" w:ascii="仿宋" w:hAnsi="仿宋" w:eastAsia="仿宋" w:cs="仿宋"/>
          <w:b w:val="0"/>
          <w:bCs/>
          <w:color w:val="auto"/>
          <w:kern w:val="2"/>
          <w:sz w:val="28"/>
          <w:szCs w:val="28"/>
          <w:lang w:val="en-US" w:eastAsia="zh-CN"/>
        </w:rPr>
        <w:t>详见附件。</w:t>
      </w:r>
    </w:p>
    <w:p w14:paraId="533B3DCE">
      <w:pPr>
        <w:pStyle w:val="8"/>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b/>
          <w:bCs w:val="0"/>
          <w:color w:val="auto"/>
          <w:kern w:val="2"/>
          <w:sz w:val="28"/>
          <w:szCs w:val="28"/>
          <w:lang w:val="en-US" w:eastAsia="zh-CN"/>
        </w:rPr>
        <w:t>三、甲、乙方责任</w:t>
      </w:r>
    </w:p>
    <w:p w14:paraId="2A31E37E">
      <w:pPr>
        <w:pStyle w:val="8"/>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zh-CN" w:eastAsia="zh-CN"/>
        </w:rPr>
      </w:pPr>
      <w:r>
        <w:rPr>
          <w:rFonts w:hint="eastAsia" w:ascii="仿宋" w:hAnsi="仿宋" w:eastAsia="仿宋" w:cs="仿宋"/>
          <w:b/>
          <w:bCs w:val="0"/>
          <w:color w:val="auto"/>
          <w:kern w:val="2"/>
          <w:sz w:val="28"/>
          <w:szCs w:val="28"/>
          <w:lang w:val="en-US" w:eastAsia="zh-CN"/>
        </w:rPr>
        <w:t xml:space="preserve">3.1 </w:t>
      </w:r>
      <w:r>
        <w:rPr>
          <w:rFonts w:hint="eastAsia" w:ascii="仿宋" w:hAnsi="仿宋" w:eastAsia="仿宋" w:cs="仿宋"/>
          <w:b/>
          <w:bCs w:val="0"/>
          <w:color w:val="auto"/>
          <w:kern w:val="2"/>
          <w:sz w:val="28"/>
          <w:szCs w:val="28"/>
          <w:lang w:val="zh-CN" w:eastAsia="zh-CN"/>
        </w:rPr>
        <w:t>甲方</w:t>
      </w:r>
      <w:r>
        <w:rPr>
          <w:rFonts w:hint="eastAsia" w:ascii="仿宋" w:hAnsi="仿宋" w:eastAsia="仿宋" w:cs="仿宋"/>
          <w:b/>
          <w:bCs w:val="0"/>
          <w:color w:val="auto"/>
          <w:kern w:val="2"/>
          <w:sz w:val="28"/>
          <w:szCs w:val="28"/>
          <w:lang w:val="en-US" w:eastAsia="zh-CN"/>
        </w:rPr>
        <w:t>责任</w:t>
      </w:r>
    </w:p>
    <w:p w14:paraId="5DF93D03">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3.1.1 甲方负责提供乙方所需的水、电等施工条件；</w:t>
      </w:r>
    </w:p>
    <w:p w14:paraId="79972353">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3.1.2 甲方负责本工程全面管理及协调工作；</w:t>
      </w:r>
    </w:p>
    <w:p w14:paraId="44B2A871">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3.1.3 甲方负责组织配合竣工验收和竣工结算；</w:t>
      </w:r>
    </w:p>
    <w:p w14:paraId="33B4026B">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3.1.4 甲方有权监督检查工程的安全、质量、进度、施工资料的整理、文明施工和环境保护等国家和地方法律法规规定的条款，并严格要求施工单位执行。</w:t>
      </w:r>
    </w:p>
    <w:p w14:paraId="44EABBF3">
      <w:pPr>
        <w:pStyle w:val="8"/>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zh-CN" w:eastAsia="zh-CN"/>
        </w:rPr>
      </w:pPr>
      <w:r>
        <w:rPr>
          <w:rFonts w:hint="eastAsia" w:ascii="仿宋" w:hAnsi="仿宋" w:eastAsia="仿宋" w:cs="仿宋"/>
          <w:b/>
          <w:bCs w:val="0"/>
          <w:color w:val="auto"/>
          <w:kern w:val="2"/>
          <w:sz w:val="28"/>
          <w:szCs w:val="28"/>
          <w:lang w:val="en-US" w:eastAsia="zh-CN"/>
        </w:rPr>
        <w:t xml:space="preserve">3.2 </w:t>
      </w:r>
      <w:r>
        <w:rPr>
          <w:rFonts w:hint="eastAsia" w:ascii="仿宋" w:hAnsi="仿宋" w:eastAsia="仿宋" w:cs="仿宋"/>
          <w:b/>
          <w:bCs w:val="0"/>
          <w:color w:val="auto"/>
          <w:kern w:val="2"/>
          <w:sz w:val="28"/>
          <w:szCs w:val="28"/>
          <w:lang w:val="zh-CN" w:eastAsia="zh-CN"/>
        </w:rPr>
        <w:t>乙方</w:t>
      </w:r>
      <w:r>
        <w:rPr>
          <w:rFonts w:hint="eastAsia" w:ascii="仿宋" w:hAnsi="仿宋" w:eastAsia="仿宋" w:cs="仿宋"/>
          <w:b/>
          <w:bCs w:val="0"/>
          <w:color w:val="auto"/>
          <w:kern w:val="2"/>
          <w:sz w:val="28"/>
          <w:szCs w:val="28"/>
          <w:lang w:eastAsia="zh-CN"/>
        </w:rPr>
        <w:t>责任</w:t>
      </w:r>
    </w:p>
    <w:p w14:paraId="5F24E5B5">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en-US" w:eastAsia="zh-CN"/>
        </w:rPr>
        <w:t xml:space="preserve">3.2.1 </w:t>
      </w:r>
      <w:r>
        <w:rPr>
          <w:rFonts w:hint="eastAsia" w:ascii="仿宋" w:hAnsi="仿宋" w:eastAsia="仿宋" w:cs="仿宋"/>
          <w:b w:val="0"/>
          <w:bCs/>
          <w:color w:val="auto"/>
          <w:kern w:val="2"/>
          <w:sz w:val="28"/>
          <w:szCs w:val="28"/>
          <w:lang w:val="zh-CN" w:eastAsia="zh-CN"/>
        </w:rPr>
        <w:t>遵守国家、政府有关部门的管理规定，按甲方批准的施工组织设计、施工方案进行施工，保质、按时、高效完成工程；</w:t>
      </w:r>
    </w:p>
    <w:p w14:paraId="50F7D39C">
      <w:pPr>
        <w:pStyle w:val="3"/>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en-US" w:eastAsia="zh-CN"/>
        </w:rPr>
        <w:t xml:space="preserve">3.2.2 </w:t>
      </w:r>
      <w:r>
        <w:rPr>
          <w:rFonts w:hint="eastAsia" w:ascii="仿宋" w:hAnsi="仿宋" w:eastAsia="仿宋" w:cs="仿宋"/>
          <w:sz w:val="28"/>
          <w:szCs w:val="28"/>
        </w:rPr>
        <w:t>乙方保证所有工作人员具有相关工作资质符合工程要求。</w:t>
      </w:r>
    </w:p>
    <w:p w14:paraId="3D938942">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en-US" w:eastAsia="zh-CN"/>
        </w:rPr>
        <w:t xml:space="preserve">3.2.3 </w:t>
      </w:r>
      <w:r>
        <w:rPr>
          <w:rFonts w:hint="eastAsia" w:ascii="仿宋" w:hAnsi="仿宋" w:eastAsia="仿宋" w:cs="仿宋"/>
          <w:b w:val="0"/>
          <w:bCs/>
          <w:color w:val="auto"/>
          <w:kern w:val="2"/>
          <w:sz w:val="28"/>
          <w:szCs w:val="28"/>
          <w:lang w:val="zh-CN" w:eastAsia="zh-CN"/>
        </w:rPr>
        <w:t>乙方必须认真贯彻有关安全施工的规章制度，严格遵守安全操作规程，并应依照法律规定为其</w:t>
      </w:r>
      <w:r>
        <w:rPr>
          <w:rFonts w:hint="eastAsia" w:ascii="仿宋" w:hAnsi="仿宋" w:eastAsia="仿宋" w:cs="仿宋"/>
          <w:b w:val="0"/>
          <w:bCs/>
          <w:color w:val="auto"/>
          <w:kern w:val="2"/>
          <w:sz w:val="28"/>
          <w:szCs w:val="28"/>
          <w:lang w:val="en-US" w:eastAsia="zh-CN"/>
        </w:rPr>
        <w:t>履</w:t>
      </w:r>
      <w:r>
        <w:rPr>
          <w:rFonts w:hint="eastAsia" w:ascii="仿宋" w:hAnsi="仿宋" w:eastAsia="仿宋" w:cs="仿宋"/>
          <w:b w:val="0"/>
          <w:bCs/>
          <w:color w:val="auto"/>
          <w:kern w:val="2"/>
          <w:sz w:val="28"/>
          <w:szCs w:val="28"/>
          <w:lang w:val="zh-CN" w:eastAsia="zh-CN"/>
        </w:rPr>
        <w:t>行合同的全部员工缴纳工伤保险和意外伤害险。乙方应在进场前向甲方提交已投保的各项保险的凭证和保险单复印件，并与甲方签订安全协议。乙方在施工期间发生的安全事故由乙方负责，</w:t>
      </w:r>
      <w:r>
        <w:rPr>
          <w:rFonts w:hint="eastAsia" w:ascii="仿宋" w:hAnsi="仿宋" w:eastAsia="仿宋" w:cs="仿宋"/>
          <w:b w:val="0"/>
          <w:bCs/>
          <w:color w:val="auto"/>
          <w:kern w:val="2"/>
          <w:sz w:val="28"/>
          <w:szCs w:val="28"/>
          <w:lang w:val="en-US" w:eastAsia="zh-CN"/>
        </w:rPr>
        <w:t>若甲方因此向第三方承担责任的，有权向乙方全额追偿，乙方应对甲方全额补偿；</w:t>
      </w:r>
    </w:p>
    <w:p w14:paraId="107E8811">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 xml:space="preserve">3.2.4 </w:t>
      </w:r>
      <w:r>
        <w:rPr>
          <w:rFonts w:hint="eastAsia" w:ascii="仿宋" w:hAnsi="仿宋" w:eastAsia="仿宋" w:cs="仿宋"/>
          <w:b w:val="0"/>
          <w:bCs/>
          <w:color w:val="auto"/>
          <w:kern w:val="2"/>
          <w:sz w:val="28"/>
          <w:szCs w:val="28"/>
          <w:lang w:val="zh-CN" w:eastAsia="zh-CN"/>
        </w:rPr>
        <w:t>乙方作业中，如发现甲方设施、物品等有破损迹象，应及时保护现场，立即向甲方通报。</w:t>
      </w:r>
      <w:r>
        <w:rPr>
          <w:rFonts w:hint="eastAsia" w:ascii="仿宋" w:hAnsi="仿宋" w:eastAsia="仿宋" w:cs="仿宋"/>
          <w:b w:val="0"/>
          <w:bCs/>
          <w:color w:val="auto"/>
          <w:kern w:val="2"/>
          <w:sz w:val="28"/>
          <w:szCs w:val="28"/>
          <w:lang w:val="en-US" w:eastAsia="zh-CN"/>
        </w:rPr>
        <w:t>如因乙方原因造成甲方设施、物品损坏的由乙方承担赔偿责任；</w:t>
      </w:r>
    </w:p>
    <w:p w14:paraId="2C0D2E1E">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3.2.5 乙方不得对合同范围内的工程项目进行转包、分包。一经发现，立即清退出场，以合同总价款30%支付违约金，并承担由此造成的的一切损失；</w:t>
      </w:r>
    </w:p>
    <w:p w14:paraId="039791FB">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3.2.6 对于合同范围内设计图纸未明确工程量、工程量清单未有的工程量、或因设计变更、现场环境限制等其他因素新增工程量项目乙方不得擅自施工，必须得到甲方书面同意后方可施工，未经许可擅自施工结算时不予认可，所造成一切后果由乙方自负；</w:t>
      </w:r>
    </w:p>
    <w:p w14:paraId="5A541F10">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3.2.7 凡是需要进行签证的工程内容及计日工，应得到甲方认可并在施工完成后一周内进行签证备案，否则竣工结算时不予认可，原则上不得补签。</w:t>
      </w:r>
    </w:p>
    <w:p w14:paraId="3373B9A1">
      <w:pPr>
        <w:pStyle w:val="8"/>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b/>
          <w:bCs w:val="0"/>
          <w:color w:val="auto"/>
          <w:kern w:val="2"/>
          <w:sz w:val="28"/>
          <w:szCs w:val="28"/>
          <w:lang w:val="en-US" w:eastAsia="zh-CN"/>
        </w:rPr>
        <w:t>四、货物交付及安装工期</w:t>
      </w:r>
    </w:p>
    <w:p w14:paraId="6566ADD5">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4.1 到货日期为:</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，一方要求调整发运日期的，须书面通知另一方并得到对方的肯定回复。</w:t>
      </w:r>
    </w:p>
    <w:p w14:paraId="62FACFF7">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4.2 收货单位：湖南省湘衡盐化有限责任公司；货物运达地址为：湖南省衡阳市珠晖区茶山坳镇；收货人为：</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；联系电话：</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w:t>
      </w:r>
    </w:p>
    <w:p w14:paraId="7E63EC1F">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4.3 甲方有权在设备到货后7日内进行检验。如发现设备不符合本合同约定，甲方应在此期限内以书面形式向乙方提出异议，并提供相应证据（如照片、视频、检验报告等）。乙方应在收到异议后3日内予以书面答复并处理。</w:t>
      </w:r>
    </w:p>
    <w:p w14:paraId="74D39BF1">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4.4 安装工期：甲方应确保在设备到场前，使项目现场具备安装与调试条件。安装调试工期共</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个日历天，该工期自双方共同确认现场条件具备且设备开箱验收合格之日起算。若因现场条件不具备导致乙方无法进场或开工，则工期相应顺延，顺延时间等同于延误时间，且工期起算日自动调整。</w:t>
      </w:r>
    </w:p>
    <w:p w14:paraId="0B138C24">
      <w:pPr>
        <w:pStyle w:val="8"/>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b/>
          <w:bCs w:val="0"/>
          <w:color w:val="auto"/>
          <w:kern w:val="2"/>
          <w:sz w:val="28"/>
          <w:szCs w:val="28"/>
          <w:lang w:val="en-US" w:eastAsia="zh-CN"/>
        </w:rPr>
        <w:t>五、施工期限</w:t>
      </w:r>
    </w:p>
    <w:p w14:paraId="7C22B4D6">
      <w:pPr>
        <w:pStyle w:val="8"/>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sz w:val="28"/>
          <w:szCs w:val="28"/>
          <w:u w:val="none"/>
          <w:lang w:eastAsia="zh-CN"/>
        </w:rPr>
        <w:t>甲方</w:t>
      </w:r>
      <w:r>
        <w:rPr>
          <w:rFonts w:hint="eastAsia" w:ascii="仿宋" w:hAnsi="仿宋" w:eastAsia="仿宋" w:cs="仿宋"/>
          <w:sz w:val="28"/>
          <w:szCs w:val="28"/>
          <w:u w:val="none"/>
        </w:rPr>
        <w:t>通知</w:t>
      </w:r>
      <w:r>
        <w:rPr>
          <w:rFonts w:hint="eastAsia" w:ascii="仿宋" w:hAnsi="仿宋" w:eastAsia="仿宋" w:cs="仿宋"/>
          <w:sz w:val="28"/>
          <w:szCs w:val="28"/>
          <w:u w:val="none"/>
          <w:lang w:eastAsia="zh-CN"/>
        </w:rPr>
        <w:t>乙方</w:t>
      </w:r>
      <w:r>
        <w:rPr>
          <w:rFonts w:hint="eastAsia" w:ascii="仿宋" w:hAnsi="仿宋" w:eastAsia="仿宋" w:cs="仿宋"/>
          <w:sz w:val="28"/>
          <w:szCs w:val="28"/>
          <w:u w:val="none"/>
          <w:lang w:val="en-US" w:eastAsia="zh-CN"/>
        </w:rPr>
        <w:t>安装</w:t>
      </w:r>
      <w:r>
        <w:rPr>
          <w:rFonts w:hint="eastAsia" w:ascii="仿宋" w:hAnsi="仿宋" w:eastAsia="仿宋" w:cs="仿宋"/>
          <w:sz w:val="28"/>
          <w:szCs w:val="28"/>
          <w:u w:val="none"/>
        </w:rPr>
        <w:t>时间，确认</w:t>
      </w:r>
      <w:r>
        <w:rPr>
          <w:rFonts w:hint="eastAsia" w:ascii="仿宋" w:hAnsi="仿宋" w:eastAsia="仿宋" w:cs="仿宋"/>
          <w:sz w:val="28"/>
          <w:szCs w:val="28"/>
          <w:u w:val="none"/>
          <w:lang w:val="en-US" w:eastAsia="zh-CN"/>
        </w:rPr>
        <w:t>安装</w:t>
      </w:r>
      <w:r>
        <w:rPr>
          <w:rFonts w:hint="eastAsia" w:ascii="仿宋" w:hAnsi="仿宋" w:eastAsia="仿宋" w:cs="仿宋"/>
          <w:sz w:val="28"/>
          <w:szCs w:val="28"/>
          <w:u w:val="none"/>
        </w:rPr>
        <w:t>开工时间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个</w:t>
      </w:r>
      <w:r>
        <w:rPr>
          <w:rFonts w:hint="eastAsia" w:ascii="仿宋" w:hAnsi="仿宋" w:eastAsia="仿宋" w:cs="仿宋"/>
          <w:b w:val="0"/>
          <w:bCs/>
          <w:color w:val="auto"/>
          <w:kern w:val="2"/>
          <w:sz w:val="28"/>
          <w:szCs w:val="28"/>
          <w:lang w:val="en-US" w:eastAsia="zh-CN"/>
        </w:rPr>
        <w:t>日历天内完成全部施工工作。因乙方原因延误工期造成甲方生产经营损失的，甲方有权单方面解除合同，以及进行违约处罚(每推迟一天扣乙方1000元人民币），并提出索赔由乙方承担违约责任，因甲方原因导致工期延误，工期顺延。</w:t>
      </w:r>
    </w:p>
    <w:p w14:paraId="65D64728">
      <w:pPr>
        <w:pStyle w:val="8"/>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zh-CN" w:eastAsia="zh-CN"/>
        </w:rPr>
      </w:pPr>
      <w:r>
        <w:rPr>
          <w:rFonts w:hint="eastAsia" w:ascii="仿宋" w:hAnsi="仿宋" w:eastAsia="仿宋" w:cs="仿宋"/>
          <w:b/>
          <w:bCs w:val="0"/>
          <w:color w:val="auto"/>
          <w:kern w:val="2"/>
          <w:sz w:val="28"/>
          <w:szCs w:val="28"/>
          <w:lang w:val="en-US" w:eastAsia="zh-CN"/>
        </w:rPr>
        <w:t>六、</w:t>
      </w:r>
      <w:r>
        <w:rPr>
          <w:rFonts w:hint="eastAsia" w:ascii="仿宋" w:hAnsi="仿宋" w:eastAsia="仿宋" w:cs="仿宋"/>
          <w:b/>
          <w:bCs w:val="0"/>
          <w:color w:val="auto"/>
          <w:kern w:val="2"/>
          <w:sz w:val="28"/>
          <w:szCs w:val="28"/>
          <w:lang w:val="zh-CN" w:eastAsia="zh-CN"/>
        </w:rPr>
        <w:t>工程质量和检验</w:t>
      </w:r>
    </w:p>
    <w:p w14:paraId="7B29A708">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zh-CN" w:eastAsia="zh-CN"/>
        </w:rPr>
        <w:t>1、</w:t>
      </w:r>
      <w:r>
        <w:rPr>
          <w:rFonts w:hint="eastAsia" w:ascii="仿宋" w:hAnsi="仿宋" w:eastAsia="仿宋" w:cs="仿宋"/>
          <w:b w:val="0"/>
          <w:bCs/>
          <w:color w:val="auto"/>
          <w:kern w:val="2"/>
          <w:sz w:val="28"/>
          <w:szCs w:val="28"/>
          <w:lang w:val="en-US" w:eastAsia="zh-CN"/>
        </w:rPr>
        <w:t>乙方</w:t>
      </w:r>
      <w:r>
        <w:rPr>
          <w:rFonts w:hint="eastAsia" w:ascii="仿宋" w:hAnsi="仿宋" w:eastAsia="仿宋" w:cs="仿宋"/>
          <w:b w:val="0"/>
          <w:bCs/>
          <w:color w:val="auto"/>
          <w:kern w:val="2"/>
          <w:sz w:val="28"/>
          <w:szCs w:val="28"/>
          <w:lang w:val="zh-CN" w:eastAsia="zh-CN"/>
        </w:rPr>
        <w:t>不得自行修改设计，随时接受甲方的检查检验，并为其提供便利条件；</w:t>
      </w:r>
    </w:p>
    <w:p w14:paraId="76F01FC0">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zh-CN" w:eastAsia="zh-CN"/>
        </w:rPr>
        <w:t>2、工程质量的评定以国家或行业的质量检验评定标准为依据；</w:t>
      </w:r>
    </w:p>
    <w:p w14:paraId="36D75DC3">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zh-CN" w:eastAsia="zh-CN"/>
        </w:rPr>
        <w:t>3、隐蔽工程在隐蔽前</w:t>
      </w:r>
      <w:r>
        <w:rPr>
          <w:rFonts w:hint="eastAsia" w:ascii="仿宋" w:hAnsi="仿宋" w:eastAsia="仿宋" w:cs="仿宋"/>
          <w:b w:val="0"/>
          <w:bCs/>
          <w:color w:val="auto"/>
          <w:kern w:val="2"/>
          <w:sz w:val="28"/>
          <w:szCs w:val="28"/>
          <w:lang w:val="en-US" w:eastAsia="zh-CN"/>
        </w:rPr>
        <w:t>24小时</w:t>
      </w:r>
      <w:r>
        <w:rPr>
          <w:rFonts w:hint="eastAsia" w:ascii="仿宋" w:hAnsi="仿宋" w:eastAsia="仿宋" w:cs="仿宋"/>
          <w:b w:val="0"/>
          <w:bCs/>
          <w:color w:val="auto"/>
          <w:kern w:val="2"/>
          <w:sz w:val="28"/>
          <w:szCs w:val="28"/>
          <w:lang w:val="zh-CN" w:eastAsia="zh-CN"/>
        </w:rPr>
        <w:t>乙方通知甲方代表到现场检查，得到甲方</w:t>
      </w:r>
      <w:r>
        <w:rPr>
          <w:rFonts w:hint="eastAsia" w:ascii="仿宋" w:hAnsi="仿宋" w:eastAsia="仿宋" w:cs="仿宋"/>
          <w:b w:val="0"/>
          <w:bCs/>
          <w:color w:val="auto"/>
          <w:kern w:val="2"/>
          <w:sz w:val="28"/>
          <w:szCs w:val="28"/>
          <w:lang w:val="en-US" w:eastAsia="zh-CN"/>
        </w:rPr>
        <w:t>项目负责人（XX,联系方式：XX）</w:t>
      </w:r>
      <w:r>
        <w:rPr>
          <w:rFonts w:hint="eastAsia" w:ascii="仿宋" w:hAnsi="仿宋" w:eastAsia="仿宋" w:cs="仿宋"/>
          <w:b w:val="0"/>
          <w:bCs/>
          <w:color w:val="auto"/>
          <w:kern w:val="2"/>
          <w:sz w:val="28"/>
          <w:szCs w:val="28"/>
          <w:lang w:val="zh-CN" w:eastAsia="zh-CN"/>
        </w:rPr>
        <w:t>认可后方可隐蔽施工，并作好隐蔽工程记录和签证，及时办理书面移交手续。</w:t>
      </w:r>
    </w:p>
    <w:p w14:paraId="763B418B">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质量保证：乙方保证，其向甲方交付的所有设备均为全新的、未使用过的合格产品，完全符合本合同约定的质量标准、技术规格及性能要求，并具备有效的产品质量合格证明。如乙方交付的设备不符合前款保证（包括但不限于设备为旧设备、翻新设备、存在质量缺陷、不符合国家或行业标准等），即构成根本性违约。</w:t>
      </w:r>
    </w:p>
    <w:p w14:paraId="648ACFFA">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发生前款违约情形时，甲方有权选择采取以下一种或多种方式追究乙方责任：</w:t>
      </w:r>
    </w:p>
    <w:p w14:paraId="4421F922">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1）拒收与更换：拒收全部或部分不符合约定的设备，并要求乙方在5日内无条件更换为符合约定的全新合格设备。因此产生的全部费用（包括但不限于拆卸、运输、重新安装、调试等费用）由乙方承担。若因此导致项目退后，所造成的一切损失由乙方承担。</w:t>
      </w:r>
    </w:p>
    <w:p w14:paraId="3D22D1F1">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（2）解除合同：单方解除本合同或解除涉及不符合约定设备部分的合同。合同解除后，乙方应在5个工作日内返还甲方已支付的全部款项。</w:t>
      </w:r>
    </w:p>
    <w:p w14:paraId="32EFE4CB">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（3）要求赔偿：要求乙方赔偿甲方因此遭受的全部损失，包括但不限于设备差价损失、甲方对第三方承担的违约责任、甲方的工程延误损失、为解决争议产生的律师费、诉讼费、鉴定费等。</w:t>
      </w:r>
    </w:p>
    <w:p w14:paraId="3FF81A70">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（4）支付违约金：要求乙方按该批不符合约定设备的合同总价的30%向甲方支付违约金。若该违约金不足以弥补甲方实际损失的，甲方仍有权要求乙方赔偿超出部分。</w:t>
      </w:r>
    </w:p>
    <w:p w14:paraId="6C0C6E6A">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color w:val="auto"/>
          <w:kern w:val="2"/>
          <w:sz w:val="28"/>
          <w:szCs w:val="28"/>
          <w:lang w:eastAsia="zh-CN"/>
        </w:rPr>
      </w:pPr>
      <w:r>
        <w:rPr>
          <w:rFonts w:hint="eastAsia" w:ascii="仿宋" w:hAnsi="仿宋" w:eastAsia="仿宋" w:cs="仿宋"/>
          <w:b/>
          <w:color w:val="auto"/>
          <w:kern w:val="2"/>
          <w:sz w:val="28"/>
          <w:szCs w:val="28"/>
          <w:lang w:val="en-US" w:eastAsia="zh-CN"/>
        </w:rPr>
        <w:t>七、</w:t>
      </w:r>
      <w:r>
        <w:rPr>
          <w:rFonts w:hint="eastAsia" w:ascii="仿宋" w:hAnsi="仿宋" w:eastAsia="仿宋" w:cs="仿宋"/>
          <w:b/>
          <w:color w:val="auto"/>
          <w:kern w:val="2"/>
          <w:sz w:val="28"/>
          <w:szCs w:val="28"/>
        </w:rPr>
        <w:t>付款</w:t>
      </w:r>
      <w:r>
        <w:rPr>
          <w:rFonts w:hint="eastAsia" w:ascii="仿宋" w:hAnsi="仿宋" w:eastAsia="仿宋" w:cs="仿宋"/>
          <w:b/>
          <w:color w:val="auto"/>
          <w:kern w:val="2"/>
          <w:sz w:val="28"/>
          <w:szCs w:val="28"/>
          <w:lang w:eastAsia="zh-CN"/>
        </w:rPr>
        <w:t>方式</w:t>
      </w:r>
    </w:p>
    <w:p w14:paraId="676753C1">
      <w:pPr>
        <w:pStyle w:val="8"/>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① 项目竣工后，安装完成验收合格并签订《竣工验收报告单》，甲方根据完成工程量以及对应预算书价款，收到乙方累计至80%的增值税专用发票、工程量确认单及付款申请书后，支付不超过对应预算书价款中工程量价款的80%；竣工验收合格后经甲方实施单位编制预、结算，组织实施职能部门审核，纪检监察审计部初审或送集团审计部复审，甲方收到乙方累计至100%的增值税专用发票、最终结算报告及付款申请书后，付至结算款的90%；</w:t>
      </w:r>
    </w:p>
    <w:p w14:paraId="2BD0E559">
      <w:pPr>
        <w:pStyle w:val="8"/>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② 质保金，本合同质保金为结算款的10%，质保期自《竣工验收合格单》签订之日起一年，乙方按合同约定履行了质保义务后，乙方向甲方《质保期满无质量问题确认单》及付款申请书，甲方无息返还质保金。</w:t>
      </w:r>
    </w:p>
    <w:p w14:paraId="174E81C6">
      <w:pPr>
        <w:pStyle w:val="8"/>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银行承兑或现汇，具体视甲方实际情况为准。乙方悉知甲方公司审计制度规定（湘衡盐化发【2024】56号文件），对此结算流程无异议。</w:t>
      </w:r>
    </w:p>
    <w:p w14:paraId="14A1761B">
      <w:pPr>
        <w:keepNext w:val="0"/>
        <w:keepLines w:val="0"/>
        <w:pageBreakBefore w:val="0"/>
        <w:widowControl w:val="0"/>
        <w:kinsoku/>
        <w:wordWrap/>
        <w:overflowPunct/>
        <w:topLinePunct w:val="0"/>
        <w:autoSpaceDE/>
        <w:autoSpaceDN/>
        <w:bidi w:val="0"/>
        <w:adjustRightInd w:val="0"/>
        <w:spacing w:line="56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八、售后服务</w:t>
      </w:r>
    </w:p>
    <w:p w14:paraId="09898FE7">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kern w:val="2"/>
          <w:sz w:val="28"/>
          <w:szCs w:val="28"/>
          <w:lang w:val="en-US" w:eastAsia="zh-CN"/>
        </w:rPr>
        <w:t>、该项目自验收合格之日起，提供一年的质量保证期，期间不再另外收取任何费用；</w:t>
      </w:r>
    </w:p>
    <w:p w14:paraId="01E09A75">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2、质保期内出现任何产品安装质量问题（不可抗力因素除外），由乙方负责全免费（免全部工时费、管理费、财务费等）处理；</w:t>
      </w:r>
    </w:p>
    <w:p w14:paraId="776C09A3">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3、质保期内乙方在接到甲方的问题通知后，应在24小时内解决，逾期解决的，乙方应按每小时人民币100元的标准向甲方支付违约金。因此造成其它损失的，乙方仍应负责赔偿。</w:t>
      </w:r>
    </w:p>
    <w:p w14:paraId="05C187A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560" w:lineRule="exact"/>
        <w:ind w:firstLine="562" w:firstLineChars="200"/>
        <w:textAlignment w:val="auto"/>
        <w:rPr>
          <w:rFonts w:hint="eastAsia" w:ascii="仿宋" w:hAnsi="仿宋" w:eastAsia="仿宋" w:cs="仿宋"/>
          <w:b/>
          <w:bCs/>
          <w:color w:val="auto"/>
          <w:kern w:val="2"/>
          <w:sz w:val="28"/>
          <w:szCs w:val="28"/>
          <w:lang w:val="en-US" w:eastAsia="zh-CN"/>
        </w:rPr>
      </w:pPr>
      <w:r>
        <w:rPr>
          <w:rFonts w:hint="eastAsia" w:ascii="仿宋" w:hAnsi="仿宋" w:eastAsia="仿宋" w:cs="仿宋"/>
          <w:b/>
          <w:bCs/>
          <w:color w:val="auto"/>
          <w:kern w:val="2"/>
          <w:sz w:val="28"/>
          <w:szCs w:val="28"/>
          <w:lang w:val="en-US" w:eastAsia="zh-CN"/>
        </w:rPr>
        <w:t>九、违约责任</w:t>
      </w:r>
    </w:p>
    <w:p w14:paraId="052B3356">
      <w:pPr>
        <w:keepNext w:val="0"/>
        <w:keepLines w:val="0"/>
        <w:pageBreakBefore w:val="0"/>
        <w:widowControl w:val="0"/>
        <w:kinsoku/>
        <w:wordWrap/>
        <w:overflowPunct/>
        <w:topLinePunct w:val="0"/>
        <w:autoSpaceDE/>
        <w:autoSpaceDN/>
        <w:bidi w:val="0"/>
        <w:adjustRightInd w:val="0"/>
        <w:spacing w:line="560" w:lineRule="exact"/>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1、乙方不能按合同约定时间完成施工的，按合同总价款的30%向甲方支付违约金。逾期10天仍不能完成施工或通过验收，甲方有权单方解除合同，乙方应按合同总价款的30%向甲方支付惩罚性违约金；由此造成甲方或第三方损失的，乙方还应承担赔偿责任；</w:t>
      </w:r>
    </w:p>
    <w:p w14:paraId="21CE7A14">
      <w:pPr>
        <w:keepNext w:val="0"/>
        <w:keepLines w:val="0"/>
        <w:pageBreakBefore w:val="0"/>
        <w:widowControl w:val="0"/>
        <w:kinsoku/>
        <w:wordWrap/>
        <w:overflowPunct/>
        <w:topLinePunct w:val="0"/>
        <w:autoSpaceDE/>
        <w:autoSpaceDN/>
        <w:bidi w:val="0"/>
        <w:adjustRightInd w:val="0"/>
        <w:spacing w:line="560" w:lineRule="exact"/>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2、乙方未按约定进行施工的、安装存在质量问题，甲方有权要求乙方整改，未能整改的甲方有权解除合同，并要求乙方承担扣减工程款，承担甲方委托第三方提供服务所支付的费用等违约责任，并要求乙方赔偿全部损失；</w:t>
      </w:r>
    </w:p>
    <w:p w14:paraId="5F165DA3">
      <w:pPr>
        <w:keepNext w:val="0"/>
        <w:keepLines w:val="0"/>
        <w:pageBreakBefore w:val="0"/>
        <w:widowControl w:val="0"/>
        <w:kinsoku/>
        <w:wordWrap/>
        <w:overflowPunct/>
        <w:topLinePunct w:val="0"/>
        <w:autoSpaceDE/>
        <w:autoSpaceDN/>
        <w:bidi w:val="0"/>
        <w:adjustRightInd w:val="0"/>
        <w:spacing w:line="560" w:lineRule="exact"/>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3、如乙方有其他违反本合同情形的，应赔偿甲方全部损失。本合同中的全部损失包括但不限于对甲方所造成的直接损失、可得利益损失、支付给第三方的赔偿费用/违约金/罚款、调查取证费用/公证费/鉴定费用、诉讼仲裁费用、保全费用、律师费用、维权费用以及其他合理费用。</w:t>
      </w:r>
    </w:p>
    <w:p w14:paraId="1C6FEC61">
      <w:pPr>
        <w:pStyle w:val="8"/>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auto"/>
          <w:kern w:val="2"/>
          <w:sz w:val="28"/>
          <w:szCs w:val="28"/>
          <w:lang w:val="en-US" w:eastAsia="zh-CN"/>
        </w:rPr>
      </w:pPr>
      <w:r>
        <w:rPr>
          <w:rFonts w:hint="eastAsia" w:ascii="仿宋" w:hAnsi="仿宋" w:eastAsia="仿宋" w:cs="仿宋"/>
          <w:b/>
          <w:bCs/>
          <w:color w:val="auto"/>
          <w:kern w:val="2"/>
          <w:sz w:val="28"/>
          <w:szCs w:val="28"/>
          <w:lang w:val="en-US" w:eastAsia="zh-CN"/>
        </w:rPr>
        <w:t>十、其他约定</w:t>
      </w:r>
    </w:p>
    <w:p w14:paraId="63EBF8FA">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color w:val="auto"/>
          <w:kern w:val="2"/>
          <w:sz w:val="28"/>
          <w:szCs w:val="28"/>
          <w:lang w:val="en-US" w:eastAsia="zh-CN"/>
        </w:rPr>
        <w:t>1、</w:t>
      </w:r>
      <w:r>
        <w:rPr>
          <w:rFonts w:hint="eastAsia" w:ascii="仿宋" w:hAnsi="仿宋" w:eastAsia="仿宋" w:cs="仿宋"/>
          <w:color w:val="auto"/>
          <w:kern w:val="2"/>
          <w:sz w:val="28"/>
          <w:szCs w:val="28"/>
        </w:rPr>
        <w:t>本合同正文一式</w:t>
      </w:r>
      <w:r>
        <w:rPr>
          <w:rFonts w:hint="eastAsia" w:ascii="仿宋" w:hAnsi="仿宋" w:eastAsia="仿宋" w:cs="仿宋"/>
          <w:color w:val="auto"/>
          <w:kern w:val="2"/>
          <w:sz w:val="28"/>
          <w:szCs w:val="28"/>
          <w:lang w:val="en-US" w:eastAsia="zh-CN"/>
        </w:rPr>
        <w:t>肆</w:t>
      </w:r>
      <w:r>
        <w:rPr>
          <w:rFonts w:hint="eastAsia" w:ascii="仿宋" w:hAnsi="仿宋" w:eastAsia="仿宋" w:cs="仿宋"/>
          <w:color w:val="auto"/>
          <w:kern w:val="2"/>
          <w:sz w:val="28"/>
          <w:szCs w:val="28"/>
        </w:rPr>
        <w:t>份，甲方</w:t>
      </w:r>
      <w:r>
        <w:rPr>
          <w:rFonts w:hint="eastAsia" w:ascii="仿宋" w:hAnsi="仿宋" w:eastAsia="仿宋" w:cs="仿宋"/>
          <w:color w:val="auto"/>
          <w:kern w:val="2"/>
          <w:sz w:val="28"/>
          <w:szCs w:val="28"/>
          <w:lang w:val="en-US" w:eastAsia="zh-CN"/>
        </w:rPr>
        <w:t>贰</w:t>
      </w:r>
      <w:r>
        <w:rPr>
          <w:rFonts w:hint="eastAsia" w:ascii="仿宋" w:hAnsi="仿宋" w:eastAsia="仿宋" w:cs="仿宋"/>
          <w:color w:val="auto"/>
          <w:kern w:val="2"/>
          <w:sz w:val="28"/>
          <w:szCs w:val="28"/>
        </w:rPr>
        <w:t>份，乙方</w:t>
      </w:r>
      <w:r>
        <w:rPr>
          <w:rFonts w:hint="eastAsia" w:ascii="仿宋" w:hAnsi="仿宋" w:eastAsia="仿宋" w:cs="仿宋"/>
          <w:color w:val="auto"/>
          <w:kern w:val="2"/>
          <w:sz w:val="28"/>
          <w:szCs w:val="28"/>
          <w:lang w:val="en-US" w:eastAsia="zh-CN"/>
        </w:rPr>
        <w:t>贰</w:t>
      </w:r>
      <w:r>
        <w:rPr>
          <w:rFonts w:hint="eastAsia" w:ascii="仿宋" w:hAnsi="仿宋" w:eastAsia="仿宋" w:cs="仿宋"/>
          <w:color w:val="auto"/>
          <w:kern w:val="2"/>
          <w:sz w:val="28"/>
          <w:szCs w:val="28"/>
        </w:rPr>
        <w:t>份，具有同等法律效力</w:t>
      </w:r>
      <w:r>
        <w:rPr>
          <w:rFonts w:hint="eastAsia" w:ascii="仿宋" w:hAnsi="仿宋" w:eastAsia="仿宋" w:cs="仿宋"/>
          <w:color w:val="auto"/>
          <w:kern w:val="2"/>
          <w:sz w:val="28"/>
          <w:szCs w:val="28"/>
          <w:lang w:eastAsia="zh-CN"/>
        </w:rPr>
        <w:t>，</w:t>
      </w:r>
      <w:r>
        <w:rPr>
          <w:rFonts w:hint="eastAsia" w:ascii="仿宋" w:hAnsi="仿宋" w:eastAsia="仿宋" w:cs="仿宋"/>
          <w:sz w:val="28"/>
          <w:szCs w:val="28"/>
        </w:rPr>
        <w:t>自签订之日起合同生效</w:t>
      </w:r>
      <w:r>
        <w:rPr>
          <w:rFonts w:hint="eastAsia" w:ascii="仿宋" w:hAnsi="仿宋" w:eastAsia="仿宋" w:cs="仿宋"/>
          <w:sz w:val="28"/>
          <w:szCs w:val="28"/>
          <w:lang w:eastAsia="zh-CN"/>
        </w:rPr>
        <w:t>；</w:t>
      </w:r>
    </w:p>
    <w:p w14:paraId="62887C98">
      <w:pPr>
        <w:pStyle w:val="3"/>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2、本合同未尽事宜由甲、乙双方友好协商解决；</w:t>
      </w:r>
    </w:p>
    <w:p w14:paraId="73D418FC">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宋体" w:hAnsi="宋体"/>
          <w:color w:val="auto"/>
          <w:kern w:val="2"/>
          <w:sz w:val="24"/>
          <w:szCs w:val="24"/>
        </w:rPr>
      </w:pPr>
      <w:r>
        <w:rPr>
          <w:rFonts w:hint="eastAsia" w:ascii="仿宋" w:hAnsi="仿宋" w:eastAsia="仿宋" w:cs="仿宋"/>
          <w:kern w:val="2"/>
          <w:sz w:val="28"/>
          <w:szCs w:val="28"/>
          <w:lang w:val="en-US" w:eastAsia="zh-CN" w:bidi="ar-SA"/>
        </w:rPr>
        <w:t>3、</w:t>
      </w:r>
      <w:r>
        <w:rPr>
          <w:rFonts w:hint="eastAsia" w:ascii="仿宋" w:hAnsi="仿宋" w:eastAsia="仿宋" w:cs="仿宋"/>
          <w:color w:val="auto"/>
          <w:kern w:val="2"/>
          <w:sz w:val="28"/>
          <w:szCs w:val="28"/>
        </w:rPr>
        <w:t>甲方、乙方在履行本合同</w:t>
      </w:r>
      <w:r>
        <w:rPr>
          <w:rFonts w:hint="eastAsia" w:ascii="仿宋" w:hAnsi="仿宋" w:eastAsia="仿宋" w:cs="仿宋"/>
          <w:color w:val="auto"/>
          <w:kern w:val="2"/>
          <w:sz w:val="28"/>
          <w:szCs w:val="28"/>
          <w:lang w:val="en-US" w:eastAsia="zh-CN"/>
        </w:rPr>
        <w:t>和技术协议</w:t>
      </w:r>
      <w:r>
        <w:rPr>
          <w:rFonts w:hint="eastAsia" w:ascii="仿宋" w:hAnsi="仿宋" w:eastAsia="仿宋" w:cs="仿宋"/>
          <w:color w:val="auto"/>
          <w:kern w:val="2"/>
          <w:sz w:val="28"/>
          <w:szCs w:val="28"/>
        </w:rPr>
        <w:t>的过程中，如发生争议，应通过友好协商解决，协商不成时，向甲方所在地人民法院</w:t>
      </w:r>
      <w:r>
        <w:rPr>
          <w:rFonts w:hint="eastAsia" w:ascii="仿宋" w:hAnsi="仿宋" w:eastAsia="仿宋" w:cs="仿宋"/>
          <w:color w:val="auto"/>
          <w:kern w:val="2"/>
          <w:sz w:val="28"/>
          <w:szCs w:val="28"/>
          <w:lang w:val="en-US" w:eastAsia="zh-CN"/>
        </w:rPr>
        <w:t>提起诉讼</w:t>
      </w:r>
      <w:r>
        <w:rPr>
          <w:rFonts w:hint="eastAsia" w:ascii="仿宋" w:hAnsi="仿宋" w:eastAsia="仿宋" w:cs="仿宋"/>
          <w:color w:val="auto"/>
          <w:kern w:val="2"/>
          <w:sz w:val="28"/>
          <w:szCs w:val="28"/>
        </w:rPr>
        <w:t>。</w:t>
      </w:r>
      <w:r>
        <w:rPr>
          <w:rFonts w:hint="eastAsia" w:ascii="宋体" w:hAnsi="宋体"/>
          <w:color w:val="auto"/>
          <w:kern w:val="2"/>
          <w:sz w:val="24"/>
          <w:szCs w:val="24"/>
        </w:rPr>
        <w:t xml:space="preserve"> </w:t>
      </w:r>
    </w:p>
    <w:tbl>
      <w:tblPr>
        <w:tblStyle w:val="4"/>
        <w:tblW w:w="992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3"/>
        <w:gridCol w:w="4891"/>
      </w:tblGrid>
      <w:tr w14:paraId="72C2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trPr>
        <w:tc>
          <w:tcPr>
            <w:tcW w:w="5033" w:type="dxa"/>
            <w:noWrap w:val="0"/>
            <w:vAlign w:val="center"/>
          </w:tcPr>
          <w:p w14:paraId="2E05C007">
            <w:pPr>
              <w:spacing w:line="360" w:lineRule="auto"/>
              <w:jc w:val="center"/>
              <w:rPr>
                <w:rFonts w:hint="eastAsia" w:ascii="仿宋" w:hAnsi="仿宋" w:eastAsia="仿宋" w:cs="仿宋"/>
                <w:b/>
                <w:sz w:val="28"/>
                <w:szCs w:val="28"/>
              </w:rPr>
            </w:pPr>
            <w:r>
              <w:rPr>
                <w:rFonts w:hint="eastAsia" w:ascii="仿宋" w:hAnsi="仿宋" w:eastAsia="仿宋" w:cs="仿宋"/>
                <w:b/>
                <w:sz w:val="28"/>
                <w:szCs w:val="28"/>
                <w:lang w:val="en-US" w:eastAsia="zh-CN"/>
              </w:rPr>
              <w:t>甲</w:t>
            </w:r>
            <w:r>
              <w:rPr>
                <w:rFonts w:hint="eastAsia" w:ascii="仿宋" w:hAnsi="仿宋" w:eastAsia="仿宋" w:cs="仿宋"/>
                <w:b/>
                <w:sz w:val="28"/>
                <w:szCs w:val="28"/>
              </w:rPr>
              <w:t xml:space="preserve">           方</w:t>
            </w:r>
          </w:p>
        </w:tc>
        <w:tc>
          <w:tcPr>
            <w:tcW w:w="4891" w:type="dxa"/>
            <w:noWrap w:val="0"/>
            <w:vAlign w:val="center"/>
          </w:tcPr>
          <w:p w14:paraId="133A6898">
            <w:pPr>
              <w:spacing w:line="360" w:lineRule="auto"/>
              <w:jc w:val="center"/>
              <w:rPr>
                <w:rFonts w:hint="eastAsia" w:ascii="仿宋" w:hAnsi="仿宋" w:eastAsia="仿宋" w:cs="仿宋"/>
                <w:b/>
                <w:sz w:val="28"/>
                <w:szCs w:val="28"/>
              </w:rPr>
            </w:pPr>
            <w:r>
              <w:rPr>
                <w:rFonts w:hint="eastAsia" w:ascii="仿宋" w:hAnsi="仿宋" w:eastAsia="仿宋" w:cs="仿宋"/>
                <w:b/>
                <w:sz w:val="28"/>
                <w:szCs w:val="28"/>
                <w:lang w:val="en-US" w:eastAsia="zh-CN"/>
              </w:rPr>
              <w:t>乙</w:t>
            </w:r>
            <w:r>
              <w:rPr>
                <w:rFonts w:hint="eastAsia" w:ascii="仿宋" w:hAnsi="仿宋" w:eastAsia="仿宋" w:cs="仿宋"/>
                <w:b/>
                <w:sz w:val="28"/>
                <w:szCs w:val="28"/>
              </w:rPr>
              <w:t xml:space="preserve">         方</w:t>
            </w:r>
          </w:p>
        </w:tc>
      </w:tr>
      <w:tr w14:paraId="3C70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5033" w:type="dxa"/>
            <w:noWrap w:val="0"/>
            <w:vAlign w:val="center"/>
          </w:tcPr>
          <w:p w14:paraId="14774CE2">
            <w:pPr>
              <w:spacing w:line="360" w:lineRule="auto"/>
              <w:rPr>
                <w:rFonts w:hint="eastAsia" w:ascii="仿宋" w:hAnsi="仿宋" w:eastAsia="仿宋" w:cs="仿宋"/>
                <w:sz w:val="24"/>
                <w:szCs w:val="24"/>
                <w:lang w:val="en-US"/>
              </w:rPr>
            </w:pPr>
            <w:r>
              <w:rPr>
                <w:rFonts w:hint="eastAsia" w:ascii="仿宋" w:hAnsi="仿宋" w:eastAsia="仿宋" w:cs="仿宋"/>
                <w:sz w:val="24"/>
                <w:szCs w:val="24"/>
              </w:rPr>
              <w:t>单位名称（章）</w:t>
            </w:r>
            <w:r>
              <w:rPr>
                <w:rFonts w:hint="eastAsia" w:ascii="仿宋" w:hAnsi="仿宋" w:eastAsia="仿宋" w:cs="仿宋"/>
                <w:sz w:val="24"/>
                <w:szCs w:val="24"/>
                <w:lang w:val="en-US" w:eastAsia="zh-CN"/>
              </w:rPr>
              <w:t>湖南省湘衡盐化有限责任公司</w:t>
            </w:r>
          </w:p>
        </w:tc>
        <w:tc>
          <w:tcPr>
            <w:tcW w:w="4891" w:type="dxa"/>
            <w:noWrap w:val="0"/>
            <w:vAlign w:val="center"/>
          </w:tcPr>
          <w:p w14:paraId="6B8DFB3C">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单位名称（章）</w:t>
            </w:r>
          </w:p>
        </w:tc>
      </w:tr>
      <w:tr w14:paraId="36B0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33" w:type="dxa"/>
            <w:noWrap w:val="0"/>
            <w:vAlign w:val="center"/>
          </w:tcPr>
          <w:p w14:paraId="3DB22A13">
            <w:pPr>
              <w:spacing w:line="360" w:lineRule="auto"/>
              <w:rPr>
                <w:rFonts w:hint="eastAsia" w:ascii="仿宋" w:hAnsi="仿宋" w:eastAsia="仿宋" w:cs="仿宋"/>
                <w:sz w:val="24"/>
                <w:szCs w:val="24"/>
                <w:lang w:val="en-US"/>
              </w:rPr>
            </w:pPr>
            <w:r>
              <w:rPr>
                <w:rFonts w:hint="eastAsia" w:ascii="仿宋" w:hAnsi="仿宋" w:eastAsia="仿宋" w:cs="仿宋"/>
                <w:sz w:val="24"/>
                <w:szCs w:val="24"/>
              </w:rPr>
              <w:t>单位地址：</w:t>
            </w:r>
            <w:r>
              <w:rPr>
                <w:rFonts w:hint="eastAsia" w:ascii="仿宋" w:hAnsi="仿宋" w:eastAsia="仿宋" w:cs="仿宋"/>
                <w:sz w:val="24"/>
                <w:szCs w:val="24"/>
                <w:lang w:val="en-US" w:eastAsia="zh-CN"/>
              </w:rPr>
              <w:t>湖南省衡阳市珠晖区茶山坳镇</w:t>
            </w:r>
          </w:p>
        </w:tc>
        <w:tc>
          <w:tcPr>
            <w:tcW w:w="4891" w:type="dxa"/>
            <w:noWrap w:val="0"/>
            <w:vAlign w:val="center"/>
          </w:tcPr>
          <w:p w14:paraId="71E1B5FD">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单位地址：</w:t>
            </w:r>
          </w:p>
        </w:tc>
      </w:tr>
      <w:tr w14:paraId="4CFAA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trPr>
        <w:tc>
          <w:tcPr>
            <w:tcW w:w="5033" w:type="dxa"/>
            <w:noWrap w:val="0"/>
            <w:vAlign w:val="center"/>
          </w:tcPr>
          <w:p w14:paraId="7CCFCBC1">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电    话：0734-8302278</w:t>
            </w:r>
          </w:p>
        </w:tc>
        <w:tc>
          <w:tcPr>
            <w:tcW w:w="4891" w:type="dxa"/>
            <w:noWrap w:val="0"/>
            <w:vAlign w:val="center"/>
          </w:tcPr>
          <w:p w14:paraId="5F26A8E2">
            <w:pPr>
              <w:spacing w:line="360" w:lineRule="auto"/>
              <w:rPr>
                <w:rFonts w:hint="eastAsia" w:ascii="仿宋" w:hAnsi="仿宋" w:eastAsia="仿宋" w:cs="仿宋"/>
                <w:sz w:val="24"/>
                <w:szCs w:val="24"/>
              </w:rPr>
            </w:pPr>
            <w:r>
              <w:rPr>
                <w:rFonts w:hint="eastAsia" w:ascii="仿宋" w:hAnsi="仿宋" w:eastAsia="仿宋" w:cs="仿宋"/>
                <w:sz w:val="24"/>
                <w:szCs w:val="24"/>
              </w:rPr>
              <w:t>电    话：</w:t>
            </w:r>
          </w:p>
        </w:tc>
      </w:tr>
      <w:tr w14:paraId="28F5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33" w:type="dxa"/>
            <w:noWrap w:val="0"/>
            <w:vAlign w:val="center"/>
          </w:tcPr>
          <w:p w14:paraId="030AE49B">
            <w:pPr>
              <w:spacing w:line="360" w:lineRule="auto"/>
              <w:rPr>
                <w:rFonts w:hint="eastAsia" w:ascii="仿宋" w:hAnsi="仿宋" w:eastAsia="仿宋" w:cs="仿宋"/>
                <w:sz w:val="24"/>
                <w:szCs w:val="24"/>
              </w:rPr>
            </w:pPr>
            <w:r>
              <w:rPr>
                <w:rFonts w:hint="eastAsia" w:ascii="仿宋" w:hAnsi="仿宋" w:eastAsia="仿宋" w:cs="仿宋"/>
                <w:sz w:val="24"/>
                <w:szCs w:val="24"/>
              </w:rPr>
              <w:t>传    真：0734-8302363</w:t>
            </w:r>
          </w:p>
        </w:tc>
        <w:tc>
          <w:tcPr>
            <w:tcW w:w="4891" w:type="dxa"/>
            <w:noWrap w:val="0"/>
            <w:vAlign w:val="center"/>
          </w:tcPr>
          <w:p w14:paraId="589CD174">
            <w:pPr>
              <w:spacing w:line="360" w:lineRule="auto"/>
              <w:rPr>
                <w:rFonts w:hint="eastAsia" w:ascii="仿宋" w:hAnsi="仿宋" w:eastAsia="仿宋" w:cs="仿宋"/>
                <w:sz w:val="24"/>
                <w:szCs w:val="24"/>
              </w:rPr>
            </w:pPr>
            <w:r>
              <w:rPr>
                <w:rFonts w:hint="eastAsia" w:ascii="仿宋" w:hAnsi="仿宋" w:eastAsia="仿宋" w:cs="仿宋"/>
                <w:sz w:val="24"/>
                <w:szCs w:val="24"/>
              </w:rPr>
              <w:t>传    真：</w:t>
            </w:r>
          </w:p>
        </w:tc>
      </w:tr>
      <w:tr w14:paraId="3A6D1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trPr>
        <w:tc>
          <w:tcPr>
            <w:tcW w:w="5033" w:type="dxa"/>
            <w:noWrap w:val="0"/>
            <w:vAlign w:val="center"/>
          </w:tcPr>
          <w:p w14:paraId="523AE28F">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邮政编码：421006</w:t>
            </w:r>
          </w:p>
        </w:tc>
        <w:tc>
          <w:tcPr>
            <w:tcW w:w="4891" w:type="dxa"/>
            <w:noWrap w:val="0"/>
            <w:vAlign w:val="center"/>
          </w:tcPr>
          <w:p w14:paraId="69942E31">
            <w:pPr>
              <w:spacing w:line="360" w:lineRule="auto"/>
              <w:rPr>
                <w:rFonts w:hint="eastAsia" w:ascii="仿宋" w:hAnsi="仿宋" w:eastAsia="仿宋" w:cs="仿宋"/>
                <w:sz w:val="24"/>
                <w:szCs w:val="24"/>
              </w:rPr>
            </w:pPr>
            <w:r>
              <w:rPr>
                <w:rFonts w:hint="eastAsia" w:ascii="仿宋" w:hAnsi="仿宋" w:eastAsia="仿宋" w:cs="仿宋"/>
                <w:sz w:val="24"/>
                <w:szCs w:val="24"/>
              </w:rPr>
              <w:t>邮政编码：</w:t>
            </w:r>
          </w:p>
        </w:tc>
      </w:tr>
      <w:tr w14:paraId="253F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2" w:hRule="atLeast"/>
        </w:trPr>
        <w:tc>
          <w:tcPr>
            <w:tcW w:w="5033" w:type="dxa"/>
            <w:noWrap w:val="0"/>
            <w:vAlign w:val="center"/>
          </w:tcPr>
          <w:p w14:paraId="1EFFEA32">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法定代表人：</w:t>
            </w:r>
          </w:p>
        </w:tc>
        <w:tc>
          <w:tcPr>
            <w:tcW w:w="4891" w:type="dxa"/>
            <w:noWrap w:val="0"/>
            <w:vAlign w:val="center"/>
          </w:tcPr>
          <w:p w14:paraId="6E47AB2B">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法定代表人：</w:t>
            </w:r>
          </w:p>
        </w:tc>
      </w:tr>
      <w:tr w14:paraId="4BC4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1" w:hRule="atLeast"/>
        </w:trPr>
        <w:tc>
          <w:tcPr>
            <w:tcW w:w="5033" w:type="dxa"/>
            <w:noWrap w:val="0"/>
            <w:vAlign w:val="center"/>
          </w:tcPr>
          <w:p w14:paraId="47F8D6FD">
            <w:pPr>
              <w:spacing w:line="360" w:lineRule="auto"/>
              <w:rPr>
                <w:rFonts w:hint="eastAsia" w:ascii="仿宋" w:hAnsi="仿宋" w:eastAsia="仿宋" w:cs="仿宋"/>
                <w:sz w:val="24"/>
                <w:szCs w:val="24"/>
              </w:rPr>
            </w:pPr>
            <w:r>
              <w:rPr>
                <w:rFonts w:hint="eastAsia" w:ascii="仿宋" w:hAnsi="仿宋" w:eastAsia="仿宋" w:cs="仿宋"/>
                <w:sz w:val="24"/>
                <w:szCs w:val="24"/>
              </w:rPr>
              <w:t>委托代理人：</w:t>
            </w:r>
          </w:p>
        </w:tc>
        <w:tc>
          <w:tcPr>
            <w:tcW w:w="4891" w:type="dxa"/>
            <w:noWrap w:val="0"/>
            <w:vAlign w:val="center"/>
          </w:tcPr>
          <w:p w14:paraId="7F2257CD">
            <w:pPr>
              <w:spacing w:line="360" w:lineRule="auto"/>
              <w:rPr>
                <w:rFonts w:hint="eastAsia" w:ascii="仿宋" w:hAnsi="仿宋" w:eastAsia="仿宋" w:cs="仿宋"/>
                <w:sz w:val="24"/>
                <w:szCs w:val="24"/>
              </w:rPr>
            </w:pPr>
            <w:r>
              <w:rPr>
                <w:rFonts w:hint="eastAsia" w:ascii="仿宋" w:hAnsi="仿宋" w:eastAsia="仿宋" w:cs="仿宋"/>
                <w:sz w:val="24"/>
                <w:szCs w:val="24"/>
              </w:rPr>
              <w:t>委托代理人：</w:t>
            </w:r>
          </w:p>
        </w:tc>
      </w:tr>
      <w:tr w14:paraId="05BE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33" w:type="dxa"/>
            <w:noWrap w:val="0"/>
            <w:vAlign w:val="center"/>
          </w:tcPr>
          <w:p w14:paraId="5BAAA0FD">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891" w:type="dxa"/>
            <w:noWrap w:val="0"/>
            <w:vAlign w:val="center"/>
          </w:tcPr>
          <w:p w14:paraId="7D31F9D0">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r>
      <w:tr w14:paraId="77EE2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 w:hRule="atLeast"/>
        </w:trPr>
        <w:tc>
          <w:tcPr>
            <w:tcW w:w="5033" w:type="dxa"/>
            <w:noWrap w:val="0"/>
            <w:vAlign w:val="center"/>
          </w:tcPr>
          <w:p w14:paraId="11472311">
            <w:pPr>
              <w:spacing w:line="360" w:lineRule="auto"/>
              <w:rPr>
                <w:rFonts w:hint="eastAsia" w:ascii="仿宋" w:hAnsi="仿宋" w:eastAsia="仿宋" w:cs="仿宋"/>
                <w:sz w:val="24"/>
                <w:szCs w:val="24"/>
                <w:lang w:val="en-US"/>
              </w:rPr>
            </w:pPr>
            <w:r>
              <w:rPr>
                <w:rFonts w:hint="eastAsia" w:ascii="仿宋" w:hAnsi="仿宋" w:eastAsia="仿宋" w:cs="仿宋"/>
                <w:sz w:val="24"/>
                <w:szCs w:val="24"/>
              </w:rPr>
              <w:t>开户银行：</w:t>
            </w:r>
          </w:p>
        </w:tc>
        <w:tc>
          <w:tcPr>
            <w:tcW w:w="4891" w:type="dxa"/>
            <w:noWrap w:val="0"/>
            <w:vAlign w:val="center"/>
          </w:tcPr>
          <w:p w14:paraId="4E7C92FD">
            <w:pPr>
              <w:spacing w:line="360" w:lineRule="auto"/>
              <w:rPr>
                <w:rFonts w:hint="eastAsia" w:ascii="仿宋" w:hAnsi="仿宋" w:eastAsia="仿宋" w:cs="仿宋"/>
                <w:sz w:val="24"/>
                <w:szCs w:val="24"/>
              </w:rPr>
            </w:pPr>
            <w:r>
              <w:rPr>
                <w:rFonts w:hint="eastAsia" w:ascii="仿宋" w:hAnsi="仿宋" w:eastAsia="仿宋" w:cs="仿宋"/>
                <w:sz w:val="24"/>
                <w:szCs w:val="24"/>
              </w:rPr>
              <w:t>开户银行：</w:t>
            </w:r>
          </w:p>
        </w:tc>
      </w:tr>
      <w:tr w14:paraId="5AED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trPr>
        <w:tc>
          <w:tcPr>
            <w:tcW w:w="5033" w:type="dxa"/>
            <w:noWrap w:val="0"/>
            <w:vAlign w:val="center"/>
          </w:tcPr>
          <w:p w14:paraId="20840E4D">
            <w:pPr>
              <w:spacing w:line="360" w:lineRule="auto"/>
              <w:rPr>
                <w:rFonts w:hint="eastAsia" w:ascii="仿宋" w:hAnsi="仿宋" w:eastAsia="仿宋" w:cs="仿宋"/>
                <w:sz w:val="24"/>
                <w:szCs w:val="24"/>
                <w:lang w:val="en-US"/>
              </w:rPr>
            </w:pPr>
            <w:r>
              <w:rPr>
                <w:rFonts w:hint="eastAsia" w:ascii="仿宋" w:hAnsi="仿宋" w:eastAsia="仿宋" w:cs="仿宋"/>
                <w:sz w:val="24"/>
                <w:szCs w:val="24"/>
              </w:rPr>
              <w:t>账    号：</w:t>
            </w:r>
          </w:p>
        </w:tc>
        <w:tc>
          <w:tcPr>
            <w:tcW w:w="4891" w:type="dxa"/>
            <w:noWrap w:val="0"/>
            <w:vAlign w:val="center"/>
          </w:tcPr>
          <w:p w14:paraId="6A626E0D">
            <w:pPr>
              <w:spacing w:line="360" w:lineRule="auto"/>
              <w:rPr>
                <w:rFonts w:hint="eastAsia" w:ascii="仿宋" w:hAnsi="仿宋" w:eastAsia="仿宋" w:cs="仿宋"/>
                <w:sz w:val="24"/>
                <w:szCs w:val="24"/>
              </w:rPr>
            </w:pPr>
            <w:r>
              <w:rPr>
                <w:rFonts w:hint="eastAsia" w:ascii="仿宋" w:hAnsi="仿宋" w:eastAsia="仿宋" w:cs="仿宋"/>
                <w:sz w:val="24"/>
                <w:szCs w:val="24"/>
              </w:rPr>
              <w:t>账    号：</w:t>
            </w:r>
          </w:p>
        </w:tc>
      </w:tr>
      <w:tr w14:paraId="7BC2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trPr>
        <w:tc>
          <w:tcPr>
            <w:tcW w:w="5033" w:type="dxa"/>
            <w:noWrap w:val="0"/>
            <w:vAlign w:val="center"/>
          </w:tcPr>
          <w:p w14:paraId="33589684">
            <w:pPr>
              <w:spacing w:line="360" w:lineRule="auto"/>
              <w:rPr>
                <w:rFonts w:hint="eastAsia" w:ascii="仿宋" w:hAnsi="仿宋" w:eastAsia="仿宋" w:cs="仿宋"/>
                <w:sz w:val="24"/>
                <w:szCs w:val="24"/>
                <w:lang w:val="en-US"/>
              </w:rPr>
            </w:pPr>
            <w:r>
              <w:rPr>
                <w:rFonts w:hint="eastAsia" w:ascii="仿宋" w:hAnsi="仿宋" w:eastAsia="仿宋" w:cs="仿宋"/>
                <w:sz w:val="24"/>
                <w:szCs w:val="24"/>
              </w:rPr>
              <w:t>统一识别码：</w:t>
            </w:r>
          </w:p>
        </w:tc>
        <w:tc>
          <w:tcPr>
            <w:tcW w:w="4891" w:type="dxa"/>
            <w:noWrap w:val="0"/>
            <w:vAlign w:val="center"/>
          </w:tcPr>
          <w:p w14:paraId="3BD35997">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统一识别码：</w:t>
            </w:r>
          </w:p>
        </w:tc>
      </w:tr>
    </w:tbl>
    <w:p w14:paraId="3D14CA1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33290E7-99D9-49F9-9496-DEC9CA73B85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F3D2D86-DBFF-4E87-8AF8-02A433131968}"/>
  </w:font>
  <w:font w:name="方正仿宋_GB2312">
    <w:panose1 w:val="02000000000000000000"/>
    <w:charset w:val="86"/>
    <w:family w:val="auto"/>
    <w:pitch w:val="default"/>
    <w:sig w:usb0="A00002BF" w:usb1="184F6CFA" w:usb2="00000012" w:usb3="00000000" w:csb0="00040001" w:csb1="00000000"/>
    <w:embedRegular r:id="rId3" w:fontKey="{80E78E3E-25C2-44C4-B27D-73FD00C08D76}"/>
  </w:font>
  <w:font w:name="仿宋">
    <w:panose1 w:val="02010609060101010101"/>
    <w:charset w:val="86"/>
    <w:family w:val="auto"/>
    <w:pitch w:val="default"/>
    <w:sig w:usb0="800002BF" w:usb1="38CF7CFA" w:usb2="00000016" w:usb3="00000000" w:csb0="00040001" w:csb1="00000000"/>
    <w:embedRegular r:id="rId4" w:fontKey="{C99833FA-B645-49EC-B40F-37CF3FD2057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F73927"/>
    <w:rsid w:val="56F739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able of authorities"/>
    <w:basedOn w:val="1"/>
    <w:next w:val="1"/>
    <w:qFormat/>
    <w:uiPriority w:val="0"/>
    <w:pPr>
      <w:ind w:left="210" w:hanging="210"/>
      <w:jc w:val="left"/>
    </w:pPr>
    <w:rPr>
      <w:sz w:val="20"/>
      <w:szCs w:val="20"/>
    </w:rPr>
  </w:style>
  <w:style w:type="paragraph" w:styleId="3">
    <w:name w:val="Plain Text"/>
    <w:basedOn w:val="1"/>
    <w:qFormat/>
    <w:uiPriority w:val="0"/>
    <w:rPr>
      <w:rFonts w:ascii="宋体" w:hAnsi="Courier New" w:cs="Courier New"/>
      <w:szCs w:val="21"/>
    </w:rPr>
  </w:style>
  <w:style w:type="paragraph" w:customStyle="1" w:styleId="6">
    <w:name w:val="Table Text"/>
    <w:basedOn w:val="1"/>
    <w:semiHidden/>
    <w:qFormat/>
    <w:uiPriority w:val="0"/>
    <w:rPr>
      <w:rFonts w:ascii="宋体" w:hAnsi="宋体" w:eastAsia="宋体" w:cs="宋体"/>
      <w:sz w:val="22"/>
      <w:szCs w:val="22"/>
      <w:lang w:val="en-US" w:eastAsia="en-US" w:bidi="ar-SA"/>
    </w:rPr>
  </w:style>
  <w:style w:type="table" w:customStyle="1" w:styleId="7">
    <w:name w:val="Table Normal"/>
    <w:unhideWhenUsed/>
    <w:qFormat/>
    <w:uiPriority w:val="0"/>
    <w:tblPr>
      <w:tblCellMar>
        <w:top w:w="0" w:type="dxa"/>
        <w:left w:w="0" w:type="dxa"/>
        <w:bottom w:w="0" w:type="dxa"/>
        <w:right w:w="0" w:type="dxa"/>
      </w:tblCellMar>
    </w:tblPr>
  </w:style>
  <w:style w:type="paragraph" w:customStyle="1" w:styleId="8">
    <w:name w:val="Normal_0"/>
    <w:qFormat/>
    <w:uiPriority w:val="0"/>
    <w:pPr>
      <w:widowControl w:val="0"/>
      <w:jc w:val="both"/>
    </w:pPr>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2026-07-15T06:57:00Z</dcterms:created>
  <dc:creator>王佳敏</dc:creator>
  <cp:lastModifiedBy>王佳敏</cp:lastModifiedBy>
  <dcterms:modified xsi:type="dcterms:W3CDTF">2026-07-15T06:58:44Z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95F701E600E74A3BB504DAB8F635E91E_11</vt:lpwstr>
  </property>
  <property fmtid="{D5CDD505-2E9C-101B-9397-08002B2CF9AE}" pid="4" name="KSOTemplateDocerSaveRecord">
    <vt:lpwstr>eyJoZGlkIjoiMmQwMDcyYzczNTkzYjllMzA2MWZhZGVhMTA2ZmIwYjgiLCJ1c2VySWQiOiIxNDgyNzE1MjAzIn0=</vt:lpwstr>
  </property>
</Properties>
</file>